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36575" cy="61595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139" w:line="1" w:lineRule="exact"/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color w:val="4360A3"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 службы</w:t>
        <w:br/>
        <w:t>по Республике Ингушетия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Победы, 3, корп. «С»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г. Назрань, 386102</w:t>
        <w:br/>
        <w:t>тел./факс (8732) 22-87-28</w:t>
        <w:br/>
        <w:t>е-тай: 1о06@Га8.§оу.ги</w:t>
      </w:r>
    </w:p>
    <w:p>
      <w:pPr>
        <w:pStyle w:val="Style8"/>
        <w:keepNext w:val="0"/>
        <w:keepLines w:val="0"/>
        <w:widowControl w:val="0"/>
        <w:shd w:val="clear" w:color="auto" w:fill="auto"/>
        <w:tabs>
          <w:tab w:leader="underscore" w:pos="1762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left"/>
      </w:pPr>
      <w:r>
        <w:rPr>
          <w:color w:val="4360A3"/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597150" cy="18288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КОМИТЕТ ГОСЗАКАЗА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ИНГУШЕТИИ хакатп@тай.ги, xауаVкап@та^1.^и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бюджетное учреждение «Ингушская республиканская клиническая больница» им. А.О. Ахушкова» 386106, Республика Ингушетия, г. Назрань, тер Центральный округ, ул.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Х.Б.Муталиева, д.11 йкЪхакирИ@тай.ги, гкЪ@тдо^ги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 ко@го8екогд.ги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9"/>
          <w:footnotePr>
            <w:pos w:val="pageBottom"/>
            <w:numFmt w:val="decimal"/>
            <w:numRestart w:val="continuous"/>
          </w:footnotePr>
          <w:pgSz w:w="11900" w:h="16840"/>
          <w:pgMar w:top="284" w:right="1069" w:bottom="1313" w:left="1140" w:header="0" w:footer="3" w:gutter="0"/>
          <w:pgNumType w:start="1"/>
          <w:cols w:num="2" w:space="84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ГЕРАСЬКИНА ОЛЬГА ВЛАДИМИРОВНА де^а8ктаоV@уап^еx.^и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" w:after="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313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РЕШЕНИЕ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по делу № 006/06/105-525/2024 о нарушении</w:t>
        <w:br/>
        <w:t>законодательства о контрактной системе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4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г. Назрань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Резолютивная часть решения объявлена 17 октября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 полном объеме решение изготовлено 21 октября 2024 года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Ингушетия (далее - Управление) по контролю в сфере закупок (далее - Комиссия Управления) в составе: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Председатель комиссии: Б.Б. Точиев - руководительУправления;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Члены комиссии: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А.А. Аушев - начальник отдела контроля торговУправления;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А.Б. Торшкоев - ведущий специалист-эксперт Управления.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 отсутствии представителя заказчика - ГБУ «ИРКБ им А.О. Ахушкова» (далее - Заказчик).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 присутствии представителей: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заявителя жалобы: ИП Гераськина Ольга Владимировна - (далее - Заявитель) -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51" w:bottom="1313" w:left="1111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0" distL="0" distR="0" simplePos="0" relativeHeight="125829378" behindDoc="0" locked="0" layoutInCell="1" allowOverlap="1">
            <wp:simplePos x="0" y="0"/>
            <wp:positionH relativeFrom="page">
              <wp:posOffset>714375</wp:posOffset>
            </wp:positionH>
            <wp:positionV relativeFrom="paragraph">
              <wp:posOffset>0</wp:posOffset>
            </wp:positionV>
            <wp:extent cx="1517650" cy="292735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ext cx="1517650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Ю.Н. Мельниковой (по доверенности), М.Ю. Бородина (по доверенности);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уполномоченного органа - Комитета государственного заказа Республики Ингушетия (далее - Уполномоченный орган) - З.С. Хаутиева (председатель комитета).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Все стороны уведомлены надлежащим образом, заявлений и ходатайств не поступало.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Рассмотрев жалобу Заявителя на действия (бездействия) Заказчика и Уполномоченного органа) при проведении процедуры закупки № 0114500000824001964 (объект закупки: Поставка медицинских изделий, ввод в эксплуатацию медицинских изделий, обучение правилам эксплуатации специалистов, эксплуатирующих медицинское изделие, для ГБУ «Ингушская республиканская клиническая больница имени А.О. Ахушкова») (далее - Закупка), выразившиеся в нарушении норм Федерального закона №44-ФЗ от 05.04.2013г.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проведя внеплановую проверку в соответствии со статьями 99 и 106 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УСТАНОВИЛА: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Уполномоченным органом в единой информационной системе в сети Интернет по размещению информации о размещении заказов ххлхлу./акиркгдоу.ги (далее - ЕИС) размещено извещение о проведении Закупки.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33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жалобе Уполномоченным органом нарушен порядок рассмотрения заявок участников торгов.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 соответствии с извещением об осуществлении Закупки, протоколами, составленными при определении поставщика (подрядчика, исполнителя):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извещение об осуществлении закупки размещено в ЕИС - 26.09.2024;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способ определения поставщика (подрядчика, исполнителя) - электронный аукцион;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2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начальная (максимальная) цена контракта - 6 960 803,85 рублей;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6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дата и время окончания подачи заявок - 07.10.2024 09:00;</w:t>
      </w:r>
    </w:p>
    <w:p>
      <w:pPr>
        <w:pStyle w:val="Style13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12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дата подведения итогов определения поставщика (подрядчика, исполнителя) - 08.10.2024.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16.10.2024 Комиссией Управления был объявлен перерыв в рассмотрении жалобы и проведении внеплановой проверки до 17.10.2024.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Изучив представленные документы и материалы, руководствуясь статьей 106 Закона о контрактной системе, Комиссия Управления пришла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Изучив представленные документы и материалы, руководствуясь статьей 106 Закона о контрактной системе, Комиссия Управления пришла к следующим выводам.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76" w:lineRule="auto"/>
        <w:ind w:left="0" w:right="0" w:firstLine="720"/>
        <w:jc w:val="both"/>
        <w:rPr>
          <w:sz w:val="24"/>
          <w:szCs w:val="24"/>
        </w:rPr>
        <w:sectPr>
          <w:headerReference w:type="default" r:id="rId12"/>
          <w:footerReference w:type="default" r:id="rId13"/>
          <w:footnotePr>
            <w:pos w:val="pageBottom"/>
            <w:numFmt w:val="decimal"/>
            <w:numRestart w:val="continuous"/>
          </w:footnotePr>
          <w:pgSz w:w="11900" w:h="16840"/>
          <w:pgMar w:top="1714" w:right="532" w:bottom="797" w:left="1106" w:header="0" w:footer="36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подпункту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2024-3453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осуществлении закупки,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8 части 12 статьи 48 Закона о контрактной системе предусмотрено основание отклонения заявки участника торгов в случае выявления недостоверной информации в составе такой заявки.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согласно Протоколу подведения итогов определения поставщика (подрядчика, исполнителя) от 08.10.2024 №ИЭА1 заявка Заявителя отклонена по следующим основаниям: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«Непредставление информации и документов, предусмотренных извещением об осуществлении закупки (за исключением информации и документов, предусмотренных п. 2, 3 ч. 6 ст. 43 Закона 44-ФЗ), несоответствие таких информации и документов требованиям», п.8 ч.12 ст.48 №44-ФЗ «Выявление недостоверной информации, содержащейся в заявке на участие в закупке» В соответствии с техническим заданием «Максимально допустимая нагрузка в центральном положении, кг» составляет не менее 230. По данному показателю в составе заявки к поставке предложен товар со значением характеристики - 265 кг. При этом участником закупки в указанной части представлены недостоверные сведения, что подтверждается соответствующей информацией и документацией на медицинское изделие, опубликованными на официальном сайте Росздравнадзора (</w:t>
      </w:r>
      <w:r>
        <w:fldChar w:fldCharType="begin"/>
      </w:r>
      <w:r>
        <w:rPr/>
        <w:instrText> HYPERLINK "https://roszdravnadzor.gov.ru/"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1111р^://го^хс1гаупас1хог.до\\ги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).».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техническим заданием Закупки поставляемое оборудование должно иметь следующую характеристику товара: максимально допустимая нагрузка в центральном положении составляет не менее 230 кг.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по данному показателю в составе заявки к поставке предложен товар со значением характеристики - 265 кг.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Заявителем предложен к поставке товар, соответствующий потребностям Заказчика в части касающиеся.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Заявителем в составе заявки указано, что поставляемое оборудование имеет регистрационный номер медицинского изделия: РЗН 2016/4630.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2410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сведениям, опубликованным на официальном сайте Росздравнадзора, указанное медицинского изделие имеет следующую характеристику:</w:t>
        <w:tab/>
        <w:t>максимальная распределенная нагрузка (максимальная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грузоподъемность) в центральном горизонтальном положении не более 700 кг.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Иных схожих характеристик поставляемого Заявителем оборудования на официальном сайте Росздравнадзора не указано.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Заявителем предложен товар с характеристиками в рамках диапазона, предусмотренного руководством по эксплуатации медицинского изделия.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Также Заявителем предоставлено письмо от производителя, согласно которому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производитель медицинского изделия выражает готовность поставить товар с заявленным характеристиками в части касающиеся.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Наряду с вышеизложенным Комиссией Управления отмечено, что согласно итоговому протоколу Уполномоченным органом осуществлены действия по отклонению заявки участника на основании наличия недостоверных сведений.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на рассмотрении жалобы по существу Уполномоченным органом доказательств наличия в составе заявки участника недостоверных сведений не предоставлено.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изложенного Комиссией Управления жалоба признана обоснованной, в действиях Уполномоченного органа признано нарушение подпункта «а» пункта 1 части 5 статьи 49 Закона о контрактной системе.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 ходе проведения внеплановой проверки иных нарушений требований Закона о контрактной системе не выявлено.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Исходя из изложенного, информации, представленной Заявителем, заказчиком, а также информации, полученной Комиссией Управления при проведении внеплановой проверки, Комиссия, руководствуясь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статьями 99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,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</w:t>
      </w:r>
      <w:r>
        <w:rPr>
          <w:color w:val="000080"/>
          <w:spacing w:val="0"/>
          <w:w w:val="100"/>
          <w:position w:val="0"/>
          <w:sz w:val="26"/>
          <w:szCs w:val="26"/>
          <w:u w:val="single"/>
          <w:shd w:val="clear" w:color="auto" w:fill="auto"/>
          <w:lang w:val="ru-RU" w:eastAsia="ru-RU" w:bidi="ru-RU"/>
        </w:rPr>
        <w:t>106</w:t>
      </w:r>
      <w:r>
        <w:rPr>
          <w:color w:val="00008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Закона о контрактной системе,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center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РЕШИЛА: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Признать жалобу ИП Гераськиной Ольги Владимировны обоснованной.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Признать в действиях Уполномоченного органа нарушение </w: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подпункта «а» пункта 1 части 5 статьи 49 Закона о контрактной системе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8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Выдать обязательное для исполнения предписание.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Передать материалы дела должностному лицу Управления для решения вопроса о привлечении виновных должностных лиц к административной ответственности.</w:t>
      </w:r>
    </w:p>
    <w:p>
      <w:pPr>
        <w:pStyle w:val="Style13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3" w:val="left"/>
        </w:tabs>
        <w:bidi w:val="0"/>
        <w:spacing w:before="0" w:after="280" w:line="240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В соответствии со статьи 106 Закона о контрактной системе направить настоящее решение сторонам.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723" w:val="left"/>
        </w:tabs>
        <w:bidi w:val="0"/>
        <w:spacing w:before="0" w:after="560" w:line="252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Председатель Комиссии:</w:t>
        <w:tab/>
        <w:t>Б.Б. Точиев</w:t>
      </w:r>
    </w:p>
    <w:p>
      <w:pPr>
        <w:pStyle w:val="Style13"/>
        <w:keepNext w:val="0"/>
        <w:keepLines w:val="0"/>
        <w:widowControl w:val="0"/>
        <w:shd w:val="clear" w:color="auto" w:fill="auto"/>
        <w:tabs>
          <w:tab w:pos="7723" w:val="left"/>
        </w:tabs>
        <w:bidi w:val="0"/>
        <w:spacing w:before="0" w:after="560" w:line="252" w:lineRule="auto"/>
        <w:ind w:left="0" w:right="0" w:firstLine="72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Члены комиссии:</w:t>
        <w:tab/>
        <w:t>А.А. Аушев</w:t>
      </w:r>
    </w:p>
    <w:p>
      <w:pPr>
        <w:pStyle w:val="Style13"/>
        <w:keepNext w:val="0"/>
        <w:keepLines w:val="0"/>
        <w:widowControl w:val="0"/>
        <w:shd w:val="clear" w:color="auto" w:fill="auto"/>
        <w:bidi w:val="0"/>
        <w:spacing w:before="0" w:after="1660" w:line="240" w:lineRule="auto"/>
        <w:ind w:left="0" w:right="740" w:firstLine="0"/>
        <w:jc w:val="right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А.Б. Торшкоев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Настоящее решение (предписание)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Федерации.</w:t>
      </w:r>
    </w:p>
    <w:sectPr>
      <w:headerReference w:type="default" r:id="rId14"/>
      <w:footerReference w:type="default" r:id="rId15"/>
      <w:footnotePr>
        <w:pos w:val="pageBottom"/>
        <w:numFmt w:val="decimal"/>
        <w:numRestart w:val="continuous"/>
      </w:footnotePr>
      <w:pgSz w:w="11900" w:h="16840"/>
      <w:pgMar w:top="1707" w:right="541" w:bottom="1213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008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2024-3453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7.pt;margin-top:776.20000000000005pt;width:50.399999999999999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2024-3453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10017760</wp:posOffset>
              </wp:positionV>
              <wp:extent cx="64008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008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2024-3453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7.pt;margin-top:788.80000000000007pt;width:50.399999999999999pt;height:7.90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2024-3453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3921125</wp:posOffset>
              </wp:positionH>
              <wp:positionV relativeFrom="page">
                <wp:posOffset>765810</wp:posOffset>
              </wp:positionV>
              <wp:extent cx="76200" cy="12192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620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308.75pt;margin-top:60.300000000000004pt;width:6.pt;height:9.59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3917950</wp:posOffset>
              </wp:positionH>
              <wp:positionV relativeFrom="page">
                <wp:posOffset>763905</wp:posOffset>
              </wp:positionV>
              <wp:extent cx="82550" cy="12192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550" cy="1219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8.5pt;margin-top:60.149999999999999pt;width:6.5pt;height:9.5999999999999996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9">
    <w:name w:val="Основной текст (2)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Подпись к картинке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20"/>
      <w:szCs w:val="20"/>
      <w:u w:val="none"/>
    </w:rPr>
  </w:style>
  <w:style w:type="character" w:customStyle="1" w:styleId="CharStyle14">
    <w:name w:val="Основной текст_"/>
    <w:basedOn w:val="DefaultParagraphFont"/>
    <w:link w:val="Style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40" w:line="28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8">
    <w:name w:val="Основной текст (2)"/>
    <w:basedOn w:val="Normal"/>
    <w:link w:val="CharStyle9"/>
    <w:pPr>
      <w:widowControl w:val="0"/>
      <w:shd w:val="clear" w:color="auto" w:fill="auto"/>
      <w:spacing w:after="23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Подпись к картинке"/>
    <w:basedOn w:val="Normal"/>
    <w:link w:val="CharStyle12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20"/>
      <w:szCs w:val="20"/>
      <w:u w:val="none"/>
    </w:rPr>
  </w:style>
  <w:style w:type="paragraph" w:customStyle="1" w:styleId="Style13">
    <w:name w:val="Основной текст"/>
    <w:basedOn w:val="Normal"/>
    <w:link w:val="CharStyle14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image" Target="media/image3.jpeg"/><Relationship Id="rId11" Type="http://schemas.openxmlformats.org/officeDocument/2006/relationships/image" Target="media/image3.jpeg" TargetMode="External"/><Relationship Id="rId12" Type="http://schemas.openxmlformats.org/officeDocument/2006/relationships/header" Target="header1.xml"/><Relationship Id="rId13" Type="http://schemas.openxmlformats.org/officeDocument/2006/relationships/footer" Target="footer2.xml"/><Relationship Id="rId14" Type="http://schemas.openxmlformats.org/officeDocument/2006/relationships/header" Target="header2.xml"/><Relationship Id="rId15" Type="http://schemas.openxmlformats.org/officeDocument/2006/relationships/footer" Target="footer3.xml"/></Relationships>
</file>