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80" w:line="240" w:lineRule="auto"/>
        <w:ind w:left="0" w:right="0" w:firstLine="320"/>
        <w:jc w:val="both"/>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86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p>
      <w:pPr>
        <w:pStyle w:val="Style8"/>
        <w:keepNext w:val="0"/>
        <w:keepLines w:val="0"/>
        <w:widowControl w:val="0"/>
        <w:shd w:val="clear" w:color="auto" w:fill="auto"/>
        <w:bidi w:val="0"/>
        <w:spacing w:before="0" w:after="0" w:line="240" w:lineRule="auto"/>
        <w:ind w:left="0" w:right="0" w:hanging="300"/>
        <w:jc w:val="both"/>
        <w:rPr>
          <w:sz w:val="20"/>
          <w:szCs w:val="20"/>
        </w:rPr>
      </w:pPr>
      <w:r>
        <w:rPr>
          <w:b w:val="0"/>
          <w:bCs w:val="0"/>
          <w:spacing w:val="0"/>
          <w:w w:val="100"/>
          <w:position w:val="0"/>
          <w:sz w:val="20"/>
          <w:szCs w:val="20"/>
          <w:shd w:val="clear" w:color="auto" w:fill="auto"/>
          <w:lang w:val="ru-RU" w:eastAsia="ru-RU" w:bidi="ru-RU"/>
        </w:rPr>
        <w:t>На№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«КрайДЭО»</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Маерчака, 4, г. Красноярск, 660075</w:t>
      </w:r>
    </w:p>
    <w:p>
      <w:pPr>
        <w:pStyle w:val="Style11"/>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рпет@кгаудео.ш; 1огд@кгаудео.ш</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ФКУ Упрдор «Енисей»</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Ленина 111, г. Красноярск, 660017</w:t>
      </w:r>
    </w:p>
    <w:p>
      <w:pPr>
        <w:pStyle w:val="Style11"/>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Шапа-1201@таП.ш</w:t>
      </w:r>
    </w:p>
    <w:p>
      <w:pPr>
        <w:pStyle w:val="Style11"/>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535" w:bottom="1216" w:left="1452" w:header="0" w:footer="3" w:gutter="0"/>
          <w:pgNumType w:start="1"/>
          <w:cols w:num="2" w:space="720" w:equalWidth="0">
            <w:col w:w="3542" w:space="1411"/>
            <w:col w:w="3960"/>
          </w:cols>
          <w:noEndnote/>
          <w:titlePg/>
          <w:rtlGutter w:val="0"/>
          <w:docGrid w:linePitch="360"/>
        </w:sectPr>
      </w:pPr>
      <w:r>
        <w:rPr>
          <w:color w:val="000000"/>
          <w:spacing w:val="0"/>
          <w:w w:val="100"/>
          <w:position w:val="0"/>
          <w:sz w:val="24"/>
          <w:szCs w:val="24"/>
          <w:shd w:val="clear" w:color="auto" w:fill="auto"/>
          <w:lang w:val="ru-RU" w:eastAsia="ru-RU" w:bidi="ru-RU"/>
        </w:rPr>
        <w:t>ООО «РТС-тендер» наб. Тараса Шевченко, д. 23-А, г. Москва, 121151 ко@1Д8-1епдег.ш; тГо@1Д8-1епдег.ш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2" w:after="1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87" w:right="0" w:bottom="116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 024/06/106-3189/2024</w:t>
      </w:r>
    </w:p>
    <w:p>
      <w:pPr>
        <w:pStyle w:val="Style11"/>
        <w:keepNext w:val="0"/>
        <w:keepLines w:val="0"/>
        <w:widowControl w:val="0"/>
        <w:shd w:val="clear" w:color="auto" w:fill="auto"/>
        <w:bidi w:val="0"/>
        <w:spacing w:before="0" w:after="22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6276975</wp:posOffset>
                </wp:positionH>
                <wp:positionV relativeFrom="paragraph">
                  <wp:posOffset>25400</wp:posOffset>
                </wp:positionV>
                <wp:extent cx="905510" cy="219710"/>
                <wp:wrapSquare wrapText="left"/>
                <wp:docPr id="5" name="Shape 5"/>
                <a:graphic xmlns:a="http://schemas.openxmlformats.org/drawingml/2006/main">
                  <a:graphicData uri="http://schemas.microsoft.com/office/word/2010/wordprocessingShape">
                    <wps:wsp>
                      <wps:cNvSpPr txBox="1"/>
                      <wps:spPr>
                        <a:xfrm>
                          <a:ext cx="90551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1" type="#_x0000_t202" style="position:absolute;margin-left:494.25pt;margin-top:2.pt;width:71.299999999999997pt;height:17.300000000000001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18 октября 2024 года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члены Комиссии: М.А. Грицай, начальник отдела, Е.А. Шмыгина, заместитель начальника отдела (далее - Комиссия), рассмотрев жалобу Акционерного общества «Краевая дорожно-эксплуатационная организация» (далее - податель жалобы) на действия конкурсной комиссии заказчика - Федерального казенного учреждения «Федеральное управление автомобильных дорог «Енисей» федерального дорожного агентства» (далее - конкурсная комиссия, заказчик) при проведении открытого конкурса в электронной форме «Выполнение работ по содержанию действующей сети автомобильных дорог общего пользования федерального значения (устройство защитных слоев, слоев износа и поверхностной обработки). Устройство защитных слоев на автомобильной дороге Р-255 «Сибирь» Новосибирск - Кемерово - Красноярск - Иркутск км 777+500 - км 783+000, км 914+000 - км 930+000, км 946+000 - км 955+000, Красноярский край» (далее - конкурс, закупка), извещение № 0319100010324000022 на электронной торговой площадке ООО «РТС-тендер» (далее - оператор электронной площадки), установила следующее.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конкурсной комиссией порядка рассмотрения и оценки заявок на участие в конкурсе,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заказчика, конкурсной комиссии,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11"/>
        <w:keepNext w:val="0"/>
        <w:keepLines w:val="0"/>
        <w:widowControl w:val="0"/>
        <w:shd w:val="clear" w:color="auto" w:fill="auto"/>
        <w:bidi w:val="0"/>
        <w:spacing w:before="0" w:after="220" w:line="240" w:lineRule="auto"/>
        <w:ind w:left="0" w:right="0" w:firstLine="600"/>
        <w:jc w:val="both"/>
      </w:pPr>
      <w:r>
        <w:rPr>
          <w:color w:val="000000"/>
          <w:spacing w:val="0"/>
          <w:w w:val="100"/>
          <w:position w:val="0"/>
          <w:sz w:val="24"/>
          <w:szCs w:val="24"/>
          <w:shd w:val="clear" w:color="auto" w:fill="auto"/>
          <w:lang w:val="ru-RU" w:eastAsia="ru-RU" w:bidi="ru-RU"/>
        </w:rPr>
        <w:t>На рассмотрении жалобы по существу, состоявшемся 17.10.2024 в 14 часов 30 минут (по местному времени), а также после окончания объявленного перерыва 18.10.2024 в 14 часов 30 минут (по местному времени) лично присутствовали представители подателя жалобы, заказчика,</w:t>
      </w:r>
    </w:p>
    <w:p>
      <w:pPr>
        <w:pStyle w:val="Style18"/>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12"/>
        </w:rPr>
        <w:t>конкурсной комиссии, надлежащим образом подтвердившие свои личности и полномочия.</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Перерыв в рассмотрении жалобы был объявлен Комиссией в связи с необходимостью получения дополнительных пояснений от заказчика, конкурсной комиссии.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 учетом поступивших дополнительных пояснений следует, что конкурсной комиссией при рассмотрении и оценке заявок нарушен установленный заказчиком порядок оценки, а также неверно посчитаны баллы по детализирующим показателям нестоимостного критерия оценки.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моменту проведения заседания Комиссии по рассмотрению жалобы по существу заказчиком, конкурсной комиссией были представлены письменные возражения в отношении вышеуказанных доводов подателя жалобы, из которых следует, что, по их мнению, рассмотрения заявок произведено конкурсной комиссией в соответствии с установленным порядком и требованиями законодательства о контрактной системе, с учетом предоставления возможности участникам закупки конкурировать по нестоимостному критерию.</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результате рассмотрения существа жалобы, документов и сведений, представленных сторонами и размещенных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проведению электронного конкурса «Выполнение работ по содержанию действующей сети автомобильных дорог общего пользования федерального значения (устройство защитных слоев, слоев износа и поверхностной обработки). Устройство защитных слоев на автомобильной дороге Р-255 «Сибирь» Новосибирск - Кемерово - Красноярск - Иркутск км 777+500 - км 783+000, км 914+000 - км 930+000, км 946+000 - км 955+000, Красноярский край».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Частью 1 статьи 48 Закона о контрактной системе установлено, что электронный конкурс начинается с размещения в единой информационной системе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совокупности правового содержания части 1, пункта 3 части 2 статьи 42, части 1 статьи 48 Закона о контрактной системе следует, что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а также критерии оценки заявок на участие в конкурсе, величины значимости этих критериев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2 статьи 48 Закона о контрактной системе заявка на участие в закупке состоит из трех частей. Так, вторая часть должна содержать информацию и документы, предусмотренные подпунктами «м» - «р» пункта 1, подпунктом «в» пункта 2, пунктом 5 части 1 статьи 43 Закона о контрактной системе.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свою очередь, согласно подпункту «р» пункта 1 части 1 статьи 43 Закона о контрактной системе в случае проведения электронного конкурса и установления критерия, предусмотренного пунктом 4 части 1 статьи 32 Закона о контрактной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пункту 4 части 1, частям 4, 8 статьи 32 Закона о контрактной системе для оценки заявок участников закупки заказчик использует критерии, в том числе,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статьи 32 Закона о контрактной системе.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 2604).</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пункту 3 Положения № 2604 для оценки заявок в соответствии с настоящим Положением применяются следующие критерии оценки:</w:t>
      </w:r>
    </w:p>
    <w:p>
      <w:pPr>
        <w:pStyle w:val="Style11"/>
        <w:keepNext w:val="0"/>
        <w:keepLines w:val="0"/>
        <w:widowControl w:val="0"/>
        <w:numPr>
          <w:ilvl w:val="0"/>
          <w:numId w:val="1"/>
        </w:numPr>
        <w:shd w:val="clear" w:color="auto" w:fill="auto"/>
        <w:tabs>
          <w:tab w:pos="90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1"/>
        <w:keepNext w:val="0"/>
        <w:keepLines w:val="0"/>
        <w:widowControl w:val="0"/>
        <w:numPr>
          <w:ilvl w:val="0"/>
          <w:numId w:val="1"/>
        </w:numPr>
        <w:shd w:val="clear" w:color="auto" w:fill="auto"/>
        <w:tabs>
          <w:tab w:pos="91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расходы;</w:t>
      </w:r>
    </w:p>
    <w:p>
      <w:pPr>
        <w:pStyle w:val="Style11"/>
        <w:keepNext w:val="0"/>
        <w:keepLines w:val="0"/>
        <w:widowControl w:val="0"/>
        <w:numPr>
          <w:ilvl w:val="0"/>
          <w:numId w:val="1"/>
        </w:numPr>
        <w:shd w:val="clear" w:color="auto" w:fill="auto"/>
        <w:tabs>
          <w:tab w:pos="90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11"/>
        <w:keepNext w:val="0"/>
        <w:keepLines w:val="0"/>
        <w:widowControl w:val="0"/>
        <w:numPr>
          <w:ilvl w:val="0"/>
          <w:numId w:val="1"/>
        </w:numPr>
        <w:shd w:val="clear" w:color="auto" w:fill="auto"/>
        <w:tabs>
          <w:tab w:pos="89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квалификация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подпункту «в» пункта 24 Положения №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том числе, показатель «наличие у участников закупки опыта поставки товара, выполнения работы, оказания услуги, связанного с предметом контракта».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подпунктами «а», «в», «г», «д» пункта 28 Положения № 2604 в случае применения показателя оценки, предусмотренного подпунктом «в» пункта 24 настоящего Положения,</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w:t>
      </w:r>
    </w:p>
    <w:p>
      <w:pPr>
        <w:pStyle w:val="Style11"/>
        <w:keepNext w:val="0"/>
        <w:keepLines w:val="0"/>
        <w:widowControl w:val="0"/>
        <w:numPr>
          <w:ilvl w:val="0"/>
          <w:numId w:val="3"/>
        </w:numPr>
        <w:shd w:val="clear" w:color="auto" w:fill="auto"/>
        <w:tabs>
          <w:tab w:pos="90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документом, предусмотренным приложением № 1 к настоящему Положению:</w:t>
      </w:r>
    </w:p>
    <w:p>
      <w:pPr>
        <w:pStyle w:val="Style11"/>
        <w:keepNext w:val="0"/>
        <w:keepLines w:val="0"/>
        <w:widowControl w:val="0"/>
        <w:numPr>
          <w:ilvl w:val="0"/>
          <w:numId w:val="5"/>
        </w:numPr>
        <w:shd w:val="clear" w:color="auto" w:fill="auto"/>
        <w:tabs>
          <w:tab w:pos="7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1"/>
        <w:keepNext w:val="0"/>
        <w:keepLines w:val="0"/>
        <w:widowControl w:val="0"/>
        <w:numPr>
          <w:ilvl w:val="0"/>
          <w:numId w:val="5"/>
        </w:numPr>
        <w:shd w:val="clear" w:color="auto" w:fill="auto"/>
        <w:tabs>
          <w:tab w:pos="79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1"/>
        <w:keepNext w:val="0"/>
        <w:keepLines w:val="0"/>
        <w:widowControl w:val="0"/>
        <w:numPr>
          <w:ilvl w:val="0"/>
          <w:numId w:val="5"/>
        </w:numPr>
        <w:shd w:val="clear" w:color="auto" w:fill="auto"/>
        <w:tabs>
          <w:tab w:pos="7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1"/>
        <w:keepNext w:val="0"/>
        <w:keepLines w:val="0"/>
        <w:widowControl w:val="0"/>
        <w:numPr>
          <w:ilvl w:val="0"/>
          <w:numId w:val="3"/>
        </w:numPr>
        <w:shd w:val="clear" w:color="auto" w:fill="auto"/>
        <w:tabs>
          <w:tab w:pos="88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w:t>
      </w:r>
      <w:r>
        <w:rPr>
          <w:color w:val="000000"/>
          <w:spacing w:val="0"/>
          <w:w w:val="100"/>
          <w:position w:val="0"/>
          <w:sz w:val="24"/>
          <w:szCs w:val="24"/>
          <w:shd w:val="clear" w:color="auto" w:fill="auto"/>
          <w:lang w:val="ru-RU" w:eastAsia="ru-RU" w:bidi="ru-RU"/>
        </w:rPr>
        <w:t>окончания срока подачи заявок;</w:t>
      </w:r>
    </w:p>
    <w:p>
      <w:pPr>
        <w:pStyle w:val="Style11"/>
        <w:keepNext w:val="0"/>
        <w:keepLines w:val="0"/>
        <w:widowControl w:val="0"/>
        <w:numPr>
          <w:ilvl w:val="0"/>
          <w:numId w:val="3"/>
        </w:numPr>
        <w:shd w:val="clear" w:color="auto" w:fill="auto"/>
        <w:tabs>
          <w:tab w:pos="94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Объектом рассматриваемой закупки являются работы по содержанию автомобильных дорог.</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32 Положения № 2604 установлено, что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pPr>
        <w:pStyle w:val="Style11"/>
        <w:keepNext w:val="0"/>
        <w:keepLines w:val="0"/>
        <w:widowControl w:val="0"/>
        <w:numPr>
          <w:ilvl w:val="0"/>
          <w:numId w:val="7"/>
        </w:numPr>
        <w:shd w:val="clear" w:color="auto" w:fill="auto"/>
        <w:tabs>
          <w:tab w:pos="93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критерии оценки, предусмотренные подпунктами «б» и «в» пункта 3 настоящего Положения, не применяются;</w:t>
      </w:r>
    </w:p>
    <w:p>
      <w:pPr>
        <w:pStyle w:val="Style11"/>
        <w:keepNext w:val="0"/>
        <w:keepLines w:val="0"/>
        <w:widowControl w:val="0"/>
        <w:numPr>
          <w:ilvl w:val="0"/>
          <w:numId w:val="7"/>
        </w:numPr>
        <w:shd w:val="clear" w:color="auto" w:fill="auto"/>
        <w:tabs>
          <w:tab w:pos="9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pPr>
        <w:pStyle w:val="Style11"/>
        <w:keepNext w:val="0"/>
        <w:keepLines w:val="0"/>
        <w:widowControl w:val="0"/>
        <w:numPr>
          <w:ilvl w:val="0"/>
          <w:numId w:val="7"/>
        </w:numPr>
        <w:shd w:val="clear" w:color="auto" w:fill="auto"/>
        <w:tabs>
          <w:tab w:pos="93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документом, предусмотренным приложением №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pPr>
        <w:pStyle w:val="Style11"/>
        <w:keepNext w:val="0"/>
        <w:keepLines w:val="0"/>
        <w:widowControl w:val="0"/>
        <w:numPr>
          <w:ilvl w:val="0"/>
          <w:numId w:val="7"/>
        </w:numPr>
        <w:shd w:val="clear" w:color="auto" w:fill="auto"/>
        <w:tabs>
          <w:tab w:pos="9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 рассмотрению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извещении о проведении конкурса заказчиком был определен порядок рассмотрения и оценки заявок на участие в конкурсе, анализ которого показал Комиссии, что при проведении конкурса были выделены следующие критерии оценки, их показатели, детализирующие показатели и значимость каждого из них:</w:t>
      </w:r>
    </w:p>
    <w:p>
      <w:pPr>
        <w:pStyle w:val="Style11"/>
        <w:keepNext w:val="0"/>
        <w:keepLines w:val="0"/>
        <w:widowControl w:val="0"/>
        <w:numPr>
          <w:ilvl w:val="0"/>
          <w:numId w:val="9"/>
        </w:numPr>
        <w:shd w:val="clear" w:color="auto" w:fill="auto"/>
        <w:tabs>
          <w:tab w:pos="9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 60,00 %.</w:t>
      </w:r>
    </w:p>
    <w:p>
      <w:pPr>
        <w:pStyle w:val="Style11"/>
        <w:keepNext w:val="0"/>
        <w:keepLines w:val="0"/>
        <w:widowControl w:val="0"/>
        <w:numPr>
          <w:ilvl w:val="0"/>
          <w:numId w:val="9"/>
        </w:numPr>
        <w:shd w:val="clear" w:color="auto" w:fill="auto"/>
        <w:tabs>
          <w:tab w:pos="91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40,00 %.</w:t>
      </w:r>
    </w:p>
    <w:p>
      <w:pPr>
        <w:pStyle w:val="Style11"/>
        <w:keepNext w:val="0"/>
        <w:keepLines w:val="0"/>
        <w:widowControl w:val="0"/>
        <w:numPr>
          <w:ilvl w:val="1"/>
          <w:numId w:val="9"/>
        </w:numPr>
        <w:shd w:val="clear" w:color="auto" w:fill="auto"/>
        <w:tabs>
          <w:tab w:pos="1094"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 100,00 %.</w:t>
      </w:r>
    </w:p>
    <w:p>
      <w:pPr>
        <w:pStyle w:val="Style20"/>
        <w:keepNext w:val="0"/>
        <w:keepLines w:val="0"/>
        <w:widowControl w:val="0"/>
        <w:shd w:val="clear" w:color="auto" w:fill="auto"/>
        <w:bidi w:val="0"/>
        <w:spacing w:before="0" w:after="0" w:line="240" w:lineRule="auto"/>
        <w:ind w:left="552" w:right="0" w:firstLine="0"/>
        <w:jc w:val="left"/>
      </w:pPr>
      <w:r>
        <w:rPr>
          <w:color w:val="000000"/>
          <w:spacing w:val="0"/>
          <w:w w:val="100"/>
          <w:position w:val="0"/>
          <w:sz w:val="24"/>
          <w:szCs w:val="24"/>
          <w:u w:val="single"/>
          <w:shd w:val="clear" w:color="auto" w:fill="auto"/>
          <w:lang w:val="ru-RU" w:eastAsia="ru-RU" w:bidi="ru-RU"/>
        </w:rPr>
        <w:t>Детализирующие показатели</w:t>
      </w:r>
    </w:p>
    <w:tbl>
      <w:tblPr>
        <w:tblOverlap w:val="never"/>
        <w:jc w:val="center"/>
        <w:tblLayout w:type="fixed"/>
      </w:tblPr>
      <w:tblGrid>
        <w:gridCol w:w="2558"/>
        <w:gridCol w:w="1757"/>
        <w:gridCol w:w="3173"/>
        <w:gridCol w:w="2731"/>
      </w:tblGrid>
      <w:tr>
        <w:trPr>
          <w:trHeight w:val="821"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Наименование детализирующего показателя</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Значимость детализирующего показателя, %</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Порядок оценки по показателю</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Предельное максимальное значение показателя характеристики, %</w:t>
            </w:r>
          </w:p>
        </w:tc>
      </w:tr>
      <w:tr>
        <w:trPr>
          <w:trHeight w:val="1277" w:hRule="exact"/>
        </w:trPr>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Общее количество исполненных участником закупки договоров</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20,00</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Лучшим является наибольшее значение характеристики объекта закупки и установлено предельное максимальное значение характеристики объекта закупки</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5,00</w:t>
            </w:r>
          </w:p>
        </w:tc>
      </w:tr>
      <w:tr>
        <w:trPr>
          <w:trHeight w:val="811"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Общая цена исполненных участником закупки договоров</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75,00</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Лучшим является наибольшее значение характеристики объекта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821" w:hRule="exact"/>
        </w:trPr>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Наибольшая цена одного из исполненных участником закупки договоров</w:t>
            </w:r>
          </w:p>
        </w:tc>
        <w:tc>
          <w:tcPr>
            <w:tcBorders>
              <w:top w:val="single" w:sz="4"/>
              <w:left w:val="single" w:sz="4"/>
              <w:bottom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5,00</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Лучшим является наибольшее значение характеристики объекта закупки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Порядок рассмотрения и оценки заявок на участие в конкурсе размещен в составе извещения о закупке в виде отдельного электронного документа «Прил 4 к извещению Порядок рассмотрения и оценки заявок» (далее - Порядок).</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Разделом II «Критерии и показатели оценки заявок на участие в закупке» Порядка установлены следующие положения:</w:t>
      </w:r>
      <w:r>
        <w:br w:type="page"/>
      </w:r>
    </w:p>
    <w:p>
      <w:pPr>
        <w:pStyle w:val="Style11"/>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Для детализирующего показателя «Общее количество исполненных участником закупки договоров»:</w:t>
      </w:r>
    </w:p>
    <w:p>
      <w:pPr>
        <w:pStyle w:val="Style11"/>
        <w:keepNext w:val="0"/>
        <w:keepLines w:val="0"/>
        <w:widowControl w:val="0"/>
        <w:shd w:val="clear" w:color="auto" w:fill="auto"/>
        <w:bidi w:val="0"/>
        <w:spacing w:before="0" w:after="60" w:line="240" w:lineRule="auto"/>
        <w:ind w:left="580" w:right="0" w:firstLine="0"/>
        <w:jc w:val="left"/>
      </w:pPr>
      <w:r>
        <w:rPr>
          <w:color w:val="000000"/>
          <w:spacing w:val="0"/>
          <w:w w:val="100"/>
          <w:position w:val="0"/>
          <w:sz w:val="24"/>
          <w:szCs w:val="24"/>
          <w:shd w:val="clear" w:color="auto" w:fill="auto"/>
          <w:lang w:val="ru-RU" w:eastAsia="ru-RU" w:bidi="ru-RU"/>
        </w:rPr>
        <w:t xml:space="preserve">Значение количества баллов по детализирующему показателю, присваиваемых заявке, </w:t>
      </w:r>
      <w:r>
        <w:rPr>
          <w:b/>
          <w:bCs/>
          <w:color w:val="000000"/>
          <w:spacing w:val="0"/>
          <w:w w:val="100"/>
          <w:position w:val="0"/>
          <w:sz w:val="30"/>
          <w:szCs w:val="30"/>
          <w:shd w:val="clear" w:color="auto" w:fill="auto"/>
          <w:lang w:val="ru-RU" w:eastAsia="ru-RU" w:bidi="ru-RU"/>
        </w:rPr>
        <w:t>(</w:t>
      </w:r>
      <w:r>
        <w:rPr>
          <w:color w:val="000000"/>
          <w:spacing w:val="0"/>
          <w:w w:val="100"/>
          <w:position w:val="0"/>
          <w:sz w:val="19"/>
          <w:szCs w:val="19"/>
          <w:shd w:val="clear" w:color="auto" w:fill="auto"/>
          <w:lang w:val="ru-RU" w:eastAsia="ru-RU" w:bidi="ru-RU"/>
        </w:rPr>
        <w:t>БХ</w:t>
      </w:r>
      <w:r>
        <w:rPr>
          <w:b/>
          <w:bCs/>
          <w:color w:val="000000"/>
          <w:spacing w:val="0"/>
          <w:w w:val="100"/>
          <w:position w:val="0"/>
          <w:sz w:val="30"/>
          <w:szCs w:val="30"/>
          <w:shd w:val="clear" w:color="auto" w:fill="auto"/>
          <w:lang w:val="ru-RU" w:eastAsia="ru-RU" w:bidi="ru-RU"/>
        </w:rPr>
        <w:t>)</w:t>
      </w:r>
      <w:r>
        <w:rPr>
          <w:color w:val="000000"/>
          <w:spacing w:val="0"/>
          <w:w w:val="100"/>
          <w:position w:val="0"/>
          <w:sz w:val="24"/>
          <w:szCs w:val="24"/>
          <w:shd w:val="clear" w:color="auto" w:fill="auto"/>
          <w:lang w:val="ru-RU" w:eastAsia="ru-RU" w:bidi="ru-RU"/>
        </w:rPr>
        <w:t>: рассчитывается по формуле:</w:t>
      </w:r>
    </w:p>
    <w:p>
      <w:pPr>
        <w:pStyle w:val="Style11"/>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в случае, если лучшим является наибольшее значение квалификации участников закупки и</w:t>
      </w:r>
    </w:p>
    <w:p>
      <w:pPr>
        <w:pStyle w:val="Style11"/>
        <w:keepNext w:val="0"/>
        <w:keepLines w:val="0"/>
        <w:widowControl w:val="0"/>
        <w:shd w:val="clear" w:color="auto" w:fill="auto"/>
        <w:tabs>
          <w:tab w:pos="1306" w:val="left"/>
          <w:tab w:pos="1680" w:val="left"/>
          <w:tab w:pos="4656"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(х?Л</w:t>
      </w:r>
      <w:r>
        <w:rPr>
          <w:color w:val="000000"/>
          <w:spacing w:val="0"/>
          <w:w w:val="100"/>
          <w:position w:val="0"/>
          <w:sz w:val="24"/>
          <w:szCs w:val="24"/>
          <w:shd w:val="clear" w:color="auto" w:fill="auto"/>
          <w:vertAlign w:val="superscript"/>
          <w:lang w:val="ru-RU" w:eastAsia="ru-RU" w:bidi="ru-RU"/>
        </w:rPr>
        <w:t>н</w:t>
      </w:r>
      <w:r>
        <w:rPr>
          <w:color w:val="000000"/>
          <w:spacing w:val="0"/>
          <w:w w:val="100"/>
          <w:position w:val="0"/>
          <w:sz w:val="24"/>
          <w:szCs w:val="24"/>
          <w:shd w:val="clear" w:color="auto" w:fill="auto"/>
          <w:lang w:val="ru-RU" w:eastAsia="ru-RU" w:bidi="ru-RU"/>
        </w:rPr>
        <w:t>| _</w:t>
        <w:tab/>
        <w:t>.</w:t>
        <w:tab/>
        <w:t>_</w:t>
        <w:tab/>
        <w:t>_</w:t>
      </w:r>
    </w:p>
    <w:p>
      <w:pPr>
        <w:pStyle w:val="Style11"/>
        <w:keepNext w:val="0"/>
        <w:keepLines w:val="0"/>
        <w:widowControl w:val="0"/>
        <w:shd w:val="clear" w:color="auto" w:fill="auto"/>
        <w:bidi w:val="0"/>
        <w:spacing w:before="0" w:after="0" w:line="180" w:lineRule="auto"/>
        <w:ind w:left="0" w:right="0" w:firstLine="0"/>
        <w:jc w:val="left"/>
      </w:pPr>
      <w:r>
        <mc:AlternateContent>
          <mc:Choice Requires="wps">
            <w:drawing>
              <wp:anchor distT="0" distB="0" distL="12700" distR="12700" simplePos="0" relativeHeight="125829380" behindDoc="0" locked="0" layoutInCell="1" allowOverlap="1">
                <wp:simplePos x="0" y="0"/>
                <wp:positionH relativeFrom="page">
                  <wp:posOffset>701040</wp:posOffset>
                </wp:positionH>
                <wp:positionV relativeFrom="margin">
                  <wp:posOffset>1226820</wp:posOffset>
                </wp:positionV>
                <wp:extent cx="3191510" cy="393065"/>
                <wp:wrapSquare wrapText="bothSides"/>
                <wp:docPr id="7" name="Shape 7"/>
                <a:graphic xmlns:a="http://schemas.openxmlformats.org/drawingml/2006/main">
                  <a:graphicData uri="http://schemas.microsoft.com/office/word/2010/wordprocessingShape">
                    <wps:wsp>
                      <wps:cNvSpPr txBox="1"/>
                      <wps:spPr>
                        <a:xfrm>
                          <a:ext cx="3191510" cy="39306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установлено предельное максимальное значение формуле:</w:t>
                            </w:r>
                          </w:p>
                        </w:txbxContent>
                      </wps:txbx>
                      <wps:bodyPr lIns="0" tIns="0" rIns="0" bIns="0">
                        <a:noAutoFit/>
                      </wps:bodyPr>
                    </wps:wsp>
                  </a:graphicData>
                </a:graphic>
              </wp:anchor>
            </w:drawing>
          </mc:Choice>
          <mc:Fallback>
            <w:pict>
              <v:shape id="_x0000_s1033" type="#_x0000_t202" style="position:absolute;margin-left:55.200000000000003pt;margin-top:96.600000000000009pt;width:251.30000000000001pt;height:30.949999999999999pt;z-index:-125829373;mso-wrap-distance-left:1.pt;mso-wrap-distance-right:1.pt;mso-position-horizontal-relative:page;mso-position-vertical-relative:margin"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установлено предельное максимальное значение формуле:</w:t>
                      </w:r>
                    </w:p>
                  </w:txbxContent>
                </v:textbox>
                <w10:wrap type="square" anchorx="page" anchory="margin"/>
              </v:shape>
            </w:pict>
          </mc:Fallback>
        </mc:AlternateContent>
      </w:r>
      <w:r>
        <w:drawing>
          <wp:anchor distT="139700" distB="0" distL="114300" distR="114300" simplePos="0" relativeHeight="125829382" behindDoc="0" locked="0" layoutInCell="1" allowOverlap="1">
            <wp:simplePos x="0" y="0"/>
            <wp:positionH relativeFrom="page">
              <wp:posOffset>1060450</wp:posOffset>
            </wp:positionH>
            <wp:positionV relativeFrom="margin">
              <wp:posOffset>1702435</wp:posOffset>
            </wp:positionV>
            <wp:extent cx="1426210" cy="38989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1426210" cy="389890"/>
                    </a:xfrm>
                    <a:prstGeom prst="rect"/>
                  </pic:spPr>
                </pic:pic>
              </a:graphicData>
            </a:graphic>
          </wp:anchor>
        </w:drawing>
      </w:r>
      <w:r>
        <w:rPr>
          <w:i/>
          <w:iCs/>
          <w:color w:val="000000"/>
          <w:spacing w:val="0"/>
          <w:w w:val="100"/>
          <w:position w:val="0"/>
          <w:sz w:val="24"/>
          <w:szCs w:val="24"/>
          <w:shd w:val="clear" w:color="auto" w:fill="auto"/>
          <w:lang w:val="ru-RU" w:eastAsia="ru-RU" w:bidi="ru-RU"/>
        </w:rPr>
        <w:t>ква</w:t>
      </w:r>
      <w:r>
        <w:rPr>
          <w:color w:val="000000"/>
          <w:spacing w:val="0"/>
          <w:w w:val="100"/>
          <w:position w:val="0"/>
          <w:sz w:val="24"/>
          <w:szCs w:val="24"/>
          <w:shd w:val="clear" w:color="auto" w:fill="auto"/>
          <w:lang w:val="ru-RU" w:eastAsia="ru-RU" w:bidi="ru-RU"/>
        </w:rPr>
        <w:t xml:space="preserve"> квалификации участников закупки, - по</w:t>
      </w:r>
    </w:p>
    <w:p>
      <w:pPr>
        <w:pStyle w:val="Style11"/>
        <w:keepNext w:val="0"/>
        <w:keepLines w:val="0"/>
        <w:widowControl w:val="0"/>
        <w:shd w:val="clear" w:color="auto" w:fill="auto"/>
        <w:bidi w:val="0"/>
        <w:spacing w:before="0" w:after="40" w:line="240" w:lineRule="auto"/>
        <w:ind w:left="0" w:right="0" w:firstLine="580"/>
        <w:jc w:val="both"/>
      </w:pPr>
      <w:r>
        <w:rPr>
          <w:color w:val="000000"/>
          <w:spacing w:val="0"/>
          <w:w w:val="100"/>
          <w:position w:val="0"/>
          <w:sz w:val="24"/>
          <w:szCs w:val="24"/>
          <w:shd w:val="clear" w:color="auto" w:fill="auto"/>
          <w:lang w:val="ru-RU" w:eastAsia="ru-RU" w:bidi="ru-RU"/>
        </w:rPr>
        <w:t>где: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vertAlign w:val="superscript"/>
          <w:lang w:val="ru-RU" w:eastAsia="ru-RU" w:bidi="ru-RU"/>
        </w:rPr>
        <w:t>х</w:t>
      </w:r>
      <w:r>
        <w:rPr>
          <w:color w:val="000000"/>
          <w:spacing w:val="0"/>
          <w:w w:val="100"/>
          <w:position w:val="0"/>
          <w:sz w:val="24"/>
          <w:szCs w:val="24"/>
          <w:shd w:val="clear" w:color="auto" w:fill="auto"/>
          <w:lang w:val="ru-RU" w:eastAsia="ru-RU" w:bidi="ru-RU"/>
        </w:rPr>
        <w:t>™™ - минимальное значение квалификации участников закупки,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40" w:line="262" w:lineRule="auto"/>
        <w:ind w:left="0" w:right="0" w:firstLine="580"/>
        <w:jc w:val="both"/>
      </w:pPr>
      <w:r>
        <w:rPr>
          <w:color w:val="000000"/>
          <w:spacing w:val="0"/>
          <w:w w:val="100"/>
          <w:position w:val="0"/>
          <w:sz w:val="18"/>
          <w:szCs w:val="18"/>
          <w:shd w:val="clear" w:color="auto" w:fill="auto"/>
          <w:lang w:val="ru-RU" w:eastAsia="ru-RU" w:bidi="ru-RU"/>
        </w:rPr>
        <w:t>Х</w:t>
      </w:r>
      <w:r>
        <w:rPr>
          <w:i/>
          <w:iCs/>
          <w:color w:val="000000"/>
          <w:spacing w:val="0"/>
          <w:w w:val="100"/>
          <w:position w:val="0"/>
          <w:sz w:val="13"/>
          <w:szCs w:val="13"/>
          <w:shd w:val="clear" w:color="auto" w:fill="auto"/>
          <w:lang w:val="ru-RU" w:eastAsia="ru-RU" w:bidi="ru-RU"/>
        </w:rPr>
        <w:t>*</w:t>
      </w:r>
      <w:r>
        <w:rPr>
          <w:color w:val="000000"/>
          <w:spacing w:val="0"/>
          <w:w w:val="100"/>
          <w:position w:val="0"/>
          <w:sz w:val="24"/>
          <w:szCs w:val="24"/>
          <w:shd w:val="clear" w:color="auto" w:fill="auto"/>
          <w:lang w:val="ru-RU" w:eastAsia="ru-RU" w:bidi="ru-RU"/>
        </w:rPr>
        <w:t xml:space="preserve"> - значение квалификации участников закупки, содержащееся в предложении участника закупки, заявка (часть заявки) которого подлежит в соответствии с Законом №44-ФЗ оценке по критерию оценки «квалификация участников закупки»;</w:t>
      </w:r>
    </w:p>
    <w:p>
      <w:pPr>
        <w:pStyle w:val="Style8"/>
        <w:keepNext w:val="0"/>
        <w:keepLines w:val="0"/>
        <w:widowControl w:val="0"/>
        <w:shd w:val="clear" w:color="auto" w:fill="auto"/>
        <w:bidi w:val="0"/>
        <w:spacing w:before="0" w:after="0" w:line="228" w:lineRule="auto"/>
        <w:ind w:left="0" w:right="0" w:firstLine="580"/>
        <w:jc w:val="both"/>
        <w:rPr>
          <w:sz w:val="18"/>
          <w:szCs w:val="18"/>
        </w:rPr>
      </w:pPr>
      <w:r>
        <w:rPr>
          <w:b w:val="0"/>
          <w:bCs w:val="0"/>
          <w:color w:val="000000"/>
          <w:spacing w:val="0"/>
          <w:w w:val="100"/>
          <w:position w:val="0"/>
          <w:sz w:val="18"/>
          <w:szCs w:val="18"/>
          <w:shd w:val="clear" w:color="auto" w:fill="auto"/>
          <w:lang w:val="ru-RU" w:eastAsia="ru-RU" w:bidi="ru-RU"/>
        </w:rPr>
        <w:t>■упред</w:t>
      </w:r>
    </w:p>
    <w:p>
      <w:pPr>
        <w:pStyle w:val="Style11"/>
        <w:keepNext w:val="0"/>
        <w:keepLines w:val="0"/>
        <w:widowControl w:val="0"/>
        <w:shd w:val="clear" w:color="auto" w:fill="auto"/>
        <w:bidi w:val="0"/>
        <w:spacing w:before="0" w:after="380" w:line="240" w:lineRule="auto"/>
        <w:ind w:left="0" w:right="0" w:firstLine="580"/>
        <w:jc w:val="both"/>
      </w:pPr>
      <w:r>
        <w:rPr>
          <w:i/>
          <w:iCs/>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vertAlign w:val="superscript"/>
          <w:lang w:val="ru-RU" w:eastAsia="ru-RU" w:bidi="ru-RU"/>
        </w:rPr>
        <w:t>а</w:t>
      </w:r>
      <w:r>
        <w:rPr>
          <w:i/>
          <w:iCs/>
          <w:color w:val="000000"/>
          <w:spacing w:val="0"/>
          <w:w w:val="100"/>
          <w:position w:val="0"/>
          <w:sz w:val="24"/>
          <w:szCs w:val="24"/>
          <w:shd w:val="clear" w:color="auto" w:fill="auto"/>
          <w:lang w:val="ru-RU" w:eastAsia="ru-RU" w:bidi="ru-RU"/>
        </w:rPr>
        <w:t>р</w:t>
      </w:r>
      <w:r>
        <w:rPr>
          <w:color w:val="000000"/>
          <w:spacing w:val="0"/>
          <w:w w:val="100"/>
          <w:position w:val="0"/>
          <w:sz w:val="24"/>
          <w:szCs w:val="24"/>
          <w:shd w:val="clear" w:color="auto" w:fill="auto"/>
          <w:lang w:val="ru-RU" w:eastAsia="ru-RU" w:bidi="ru-RU"/>
        </w:rPr>
        <w:t xml:space="preserve"> - предельное максимальное значение квалификации участников закупки, установленное заказчиком.</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Если установлены предусмотренные настоящим разделом предельное максимальное и (или) предельное минимальное значение квалификации участников закупки и в предложении участника закупки содержится значение квалификации участников закупки, которое выше и (или) ниже такого предельного значения соответственно, баллы по детализирующему показателю в соответствии с настоящем разделом присваиваются в размере, предусмотренном для соответствующего предельного значения квалификации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детализирующего показателя «Общая цена исполненных участником закупки договоров»:</w:t>
      </w:r>
    </w:p>
    <w:p>
      <w:pPr>
        <w:pStyle w:val="Style11"/>
        <w:keepNext w:val="0"/>
        <w:keepLines w:val="0"/>
        <w:widowControl w:val="0"/>
        <w:shd w:val="clear" w:color="auto" w:fill="auto"/>
        <w:bidi w:val="0"/>
        <w:spacing w:before="0" w:after="0" w:line="240" w:lineRule="auto"/>
        <w:ind w:left="580" w:right="0" w:firstLine="0"/>
        <w:jc w:val="left"/>
      </w:pPr>
      <w:r>
        <w:rPr>
          <w:color w:val="000000"/>
          <w:spacing w:val="0"/>
          <w:w w:val="100"/>
          <w:position w:val="0"/>
          <w:sz w:val="24"/>
          <w:szCs w:val="24"/>
          <w:shd w:val="clear" w:color="auto" w:fill="auto"/>
          <w:lang w:val="ru-RU" w:eastAsia="ru-RU" w:bidi="ru-RU"/>
        </w:rPr>
        <w:t xml:space="preserve">Значение количества баллов по детализирующему показателю, присваиваемых заявке, </w:t>
      </w:r>
      <w:r>
        <w:rPr>
          <w:b/>
          <w:bCs/>
          <w:color w:val="000000"/>
          <w:spacing w:val="0"/>
          <w:w w:val="100"/>
          <w:position w:val="0"/>
          <w:sz w:val="24"/>
          <w:szCs w:val="24"/>
          <w:shd w:val="clear" w:color="auto" w:fill="auto"/>
          <w:vertAlign w:val="superscript"/>
          <w:lang w:val="ru-RU" w:eastAsia="ru-RU" w:bidi="ru-RU"/>
        </w:rPr>
        <w:t>(</w:t>
      </w:r>
      <w:r>
        <w:rPr>
          <w:color w:val="000000"/>
          <w:spacing w:val="0"/>
          <w:w w:val="100"/>
          <w:position w:val="0"/>
          <w:sz w:val="19"/>
          <w:szCs w:val="19"/>
          <w:shd w:val="clear" w:color="auto" w:fill="auto"/>
          <w:lang w:val="ru-RU" w:eastAsia="ru-RU" w:bidi="ru-RU"/>
        </w:rPr>
        <w:t>БХ</w:t>
      </w:r>
      <w:r>
        <w:rPr>
          <w:i/>
          <w:iCs/>
          <w:color w:val="000000"/>
          <w:spacing w:val="0"/>
          <w:w w:val="100"/>
          <w:position w:val="0"/>
          <w:sz w:val="13"/>
          <w:szCs w:val="13"/>
          <w:shd w:val="clear" w:color="auto" w:fill="auto"/>
          <w:lang w:val="ru-RU" w:eastAsia="ru-RU" w:bidi="ru-RU"/>
        </w:rPr>
        <w:t>'</w:t>
      </w:r>
      <w:r>
        <w:rPr>
          <w:b/>
          <w:bCs/>
          <w:color w:val="000000"/>
          <w:spacing w:val="0"/>
          <w:w w:val="100"/>
          <w:position w:val="0"/>
          <w:sz w:val="24"/>
          <w:szCs w:val="24"/>
          <w:shd w:val="clear" w:color="auto" w:fill="auto"/>
          <w:vertAlign w:val="superscript"/>
          <w:lang w:val="ru-RU" w:eastAsia="ru-RU" w:bidi="ru-RU"/>
        </w:rPr>
        <w:t>)</w:t>
      </w:r>
      <w:r>
        <w:rPr>
          <w:color w:val="000000"/>
          <w:spacing w:val="0"/>
          <w:w w:val="100"/>
          <w:position w:val="0"/>
          <w:sz w:val="24"/>
          <w:szCs w:val="24"/>
          <w:shd w:val="clear" w:color="auto" w:fill="auto"/>
          <w:lang w:val="ru-RU" w:eastAsia="ru-RU" w:bidi="ru-RU"/>
        </w:rPr>
        <w:t>: рассчитывается по формуле:</w:t>
      </w:r>
    </w:p>
    <w:p>
      <w:pPr>
        <w:pStyle w:val="Style11"/>
        <w:keepNext w:val="0"/>
        <w:keepLines w:val="0"/>
        <w:widowControl w:val="0"/>
        <w:shd w:val="clear" w:color="auto" w:fill="auto"/>
        <w:bidi w:val="0"/>
        <w:spacing w:before="0" w:after="0" w:line="240" w:lineRule="auto"/>
        <w:ind w:left="0" w:right="0" w:firstLine="580"/>
        <w:jc w:val="left"/>
        <w:rPr>
          <w:sz w:val="22"/>
          <w:szCs w:val="22"/>
        </w:rPr>
      </w:pPr>
      <w:r>
        <w:rPr>
          <w:color w:val="000000"/>
          <w:spacing w:val="0"/>
          <w:w w:val="100"/>
          <w:position w:val="0"/>
          <w:sz w:val="22"/>
          <w:szCs w:val="22"/>
          <w:shd w:val="clear" w:color="auto" w:fill="auto"/>
          <w:lang w:val="ru-RU" w:eastAsia="ru-RU" w:bidi="ru-RU"/>
        </w:rPr>
        <w:t>БХ</w:t>
      </w:r>
      <w:r>
        <w:rPr>
          <w:i/>
          <w:iCs/>
          <w:color w:val="000000"/>
          <w:spacing w:val="0"/>
          <w:w w:val="100"/>
          <w:position w:val="0"/>
          <w:sz w:val="15"/>
          <w:szCs w:val="15"/>
          <w:shd w:val="clear" w:color="auto" w:fill="auto"/>
          <w:lang w:val="ru-RU" w:eastAsia="ru-RU" w:bidi="ru-RU"/>
        </w:rPr>
        <w:t>,</w:t>
      </w:r>
      <w:r>
        <w:rPr>
          <w:color w:val="000000"/>
          <w:spacing w:val="0"/>
          <w:w w:val="100"/>
          <w:position w:val="0"/>
          <w:sz w:val="22"/>
          <w:szCs w:val="22"/>
          <w:shd w:val="clear" w:color="auto" w:fill="auto"/>
          <w:lang w:val="ru-RU" w:eastAsia="ru-RU" w:bidi="ru-RU"/>
        </w:rPr>
        <w:t xml:space="preserve"> = </w:t>
      </w:r>
      <w:r>
        <w:rPr>
          <w:b/>
          <w:bCs/>
          <w:color w:val="000000"/>
          <w:spacing w:val="0"/>
          <w:w w:val="100"/>
          <w:position w:val="0"/>
          <w:sz w:val="34"/>
          <w:szCs w:val="34"/>
          <w:shd w:val="clear" w:color="auto" w:fill="auto"/>
          <w:lang w:val="ru-RU" w:eastAsia="ru-RU" w:bidi="ru-RU"/>
        </w:rPr>
        <w:t>(</w:t>
      </w:r>
      <w:r>
        <w:rPr>
          <w:color w:val="000000"/>
          <w:spacing w:val="0"/>
          <w:w w:val="100"/>
          <w:position w:val="0"/>
          <w:sz w:val="22"/>
          <w:szCs w:val="22"/>
          <w:shd w:val="clear" w:color="auto" w:fill="auto"/>
          <w:lang w:val="ru-RU" w:eastAsia="ru-RU" w:bidi="ru-RU"/>
        </w:rPr>
        <w:t>Х</w:t>
      </w:r>
      <w:r>
        <w:rPr>
          <w:i/>
          <w:iCs/>
          <w:color w:val="000000"/>
          <w:spacing w:val="0"/>
          <w:w w:val="100"/>
          <w:position w:val="0"/>
          <w:sz w:val="15"/>
          <w:szCs w:val="15"/>
          <w:shd w:val="clear" w:color="auto" w:fill="auto"/>
          <w:lang w:val="ru-RU" w:eastAsia="ru-RU" w:bidi="ru-RU"/>
        </w:rPr>
        <w:t>,</w:t>
      </w:r>
      <w:r>
        <w:rPr>
          <w:i/>
          <w:iCs/>
          <w:color w:val="000000"/>
          <w:spacing w:val="0"/>
          <w:w w:val="100"/>
          <w:position w:val="0"/>
          <w:sz w:val="22"/>
          <w:szCs w:val="22"/>
          <w:shd w:val="clear" w:color="auto" w:fill="auto"/>
          <w:lang w:val="ru-RU" w:eastAsia="ru-RU" w:bidi="ru-RU"/>
        </w:rPr>
        <w:t>-Х</w:t>
      </w:r>
      <w:r>
        <w:rPr>
          <w:i/>
          <w:iCs/>
          <w:color w:val="000000"/>
          <w:spacing w:val="0"/>
          <w:w w:val="100"/>
          <w:position w:val="0"/>
          <w:sz w:val="15"/>
          <w:szCs w:val="15"/>
          <w:shd w:val="clear" w:color="auto" w:fill="auto"/>
          <w:lang w:val="ru-RU" w:eastAsia="ru-RU" w:bidi="ru-RU"/>
        </w:rPr>
        <w:t>тп</w:t>
      </w:r>
      <w:r>
        <w:rPr>
          <w:b/>
          <w:bCs/>
          <w:color w:val="000000"/>
          <w:spacing w:val="0"/>
          <w:w w:val="100"/>
          <w:position w:val="0"/>
          <w:sz w:val="34"/>
          <w:szCs w:val="34"/>
          <w:shd w:val="clear" w:color="auto" w:fill="auto"/>
          <w:lang w:val="ru-RU" w:eastAsia="ru-RU" w:bidi="ru-RU"/>
        </w:rPr>
        <w:t xml:space="preserve"> ) </w:t>
      </w:r>
      <w:r>
        <w:rPr>
          <w:color w:val="000000"/>
          <w:spacing w:val="0"/>
          <w:w w:val="100"/>
          <w:position w:val="0"/>
          <w:sz w:val="22"/>
          <w:szCs w:val="22"/>
          <w:shd w:val="clear" w:color="auto" w:fill="auto"/>
          <w:lang w:val="ru-RU" w:eastAsia="ru-RU" w:bidi="ru-RU"/>
        </w:rPr>
        <w:t>Х</w:t>
      </w:r>
      <w:r>
        <w:rPr>
          <w:strike/>
          <w:color w:val="000000"/>
          <w:spacing w:val="0"/>
          <w:w w:val="100"/>
          <w:position w:val="0"/>
          <w:sz w:val="22"/>
          <w:szCs w:val="22"/>
          <w:shd w:val="clear" w:color="auto" w:fill="auto"/>
          <w:lang w:val="ru-RU" w:eastAsia="ru-RU" w:bidi="ru-RU"/>
        </w:rPr>
        <w:t xml:space="preserve">Х </w:t>
      </w:r>
      <w:r>
        <w:rPr>
          <w:strike/>
          <w:color w:val="000000"/>
          <w:spacing w:val="0"/>
          <w:w w:val="100"/>
          <w:position w:val="0"/>
          <w:sz w:val="22"/>
          <w:szCs w:val="22"/>
          <w:shd w:val="clear" w:color="auto" w:fill="auto"/>
          <w:vertAlign w:val="superscript"/>
          <w:lang w:val="ru-RU" w:eastAsia="ru-RU" w:bidi="ru-RU"/>
        </w:rPr>
        <w:t>10О</w:t>
      </w:r>
      <w:r>
        <w:rPr>
          <w:strike/>
          <w:color w:val="000000"/>
          <w:spacing w:val="0"/>
          <w:w w:val="100"/>
          <w:position w:val="0"/>
          <w:sz w:val="22"/>
          <w:szCs w:val="22"/>
          <w:shd w:val="clear" w:color="auto" w:fill="auto"/>
          <w:lang w:val="ru-RU" w:eastAsia="ru-RU" w:bidi="ru-RU"/>
        </w:rPr>
        <w:t>Х</w:t>
      </w:r>
    </w:p>
    <w:p>
      <w:pPr>
        <w:pStyle w:val="Style2"/>
        <w:keepNext w:val="0"/>
        <w:keepLines w:val="0"/>
        <w:widowControl w:val="0"/>
        <w:shd w:val="clear" w:color="auto" w:fill="auto"/>
        <w:bidi w:val="0"/>
        <w:spacing w:before="0" w:after="380" w:line="182" w:lineRule="auto"/>
        <w:ind w:left="2280" w:right="0" w:firstLine="0"/>
        <w:jc w:val="both"/>
        <w:rPr>
          <w:sz w:val="15"/>
          <w:szCs w:val="15"/>
        </w:rPr>
      </w:pPr>
      <w:r>
        <w:rPr>
          <w:color w:val="000000"/>
          <w:spacing w:val="0"/>
          <w:w w:val="100"/>
          <w:position w:val="0"/>
          <w:sz w:val="22"/>
          <w:szCs w:val="22"/>
          <w:shd w:val="clear" w:color="auto" w:fill="auto"/>
          <w:lang w:val="ru-RU" w:eastAsia="ru-RU" w:bidi="ru-RU"/>
        </w:rPr>
        <w:t>Х</w:t>
      </w:r>
      <w:r>
        <w:rPr>
          <w:i/>
          <w:iCs/>
          <w:color w:val="000000"/>
          <w:spacing w:val="0"/>
          <w:w w:val="100"/>
          <w:position w:val="0"/>
          <w:sz w:val="15"/>
          <w:szCs w:val="15"/>
          <w:shd w:val="clear" w:color="auto" w:fill="auto"/>
          <w:lang w:val="ru-RU" w:eastAsia="ru-RU" w:bidi="ru-RU"/>
        </w:rPr>
        <w:t>т ах</w:t>
      </w:r>
      <w:r>
        <w:rPr>
          <w:color w:val="000000"/>
          <w:spacing w:val="0"/>
          <w:w w:val="100"/>
          <w:position w:val="0"/>
          <w:sz w:val="22"/>
          <w:szCs w:val="22"/>
          <w:shd w:val="clear" w:color="auto" w:fill="auto"/>
          <w:lang w:val="ru-RU" w:eastAsia="ru-RU" w:bidi="ru-RU"/>
        </w:rPr>
        <w:t xml:space="preserve"> Х</w:t>
      </w:r>
      <w:r>
        <w:rPr>
          <w:i/>
          <w:iCs/>
          <w:color w:val="000000"/>
          <w:spacing w:val="0"/>
          <w:w w:val="100"/>
          <w:position w:val="0"/>
          <w:sz w:val="15"/>
          <w:szCs w:val="15"/>
          <w:shd w:val="clear" w:color="auto" w:fill="auto"/>
          <w:lang w:val="ru-RU" w:eastAsia="ru-RU" w:bidi="ru-RU"/>
        </w:rPr>
        <w:t>т т</w:t>
      </w:r>
    </w:p>
    <w:p>
      <w:pPr>
        <w:pStyle w:val="Style11"/>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где:</w:t>
      </w:r>
    </w:p>
    <w:p>
      <w:pPr>
        <w:pStyle w:val="Style8"/>
        <w:keepNext w:val="0"/>
        <w:keepLines w:val="0"/>
        <w:widowControl w:val="0"/>
        <w:shd w:val="clear" w:color="auto" w:fill="auto"/>
        <w:bidi w:val="0"/>
        <w:spacing w:before="0" w:after="0" w:line="240" w:lineRule="auto"/>
        <w:ind w:left="0" w:right="0" w:firstLine="580"/>
        <w:jc w:val="left"/>
        <w:rPr>
          <w:sz w:val="20"/>
          <w:szCs w:val="20"/>
        </w:rPr>
      </w:pPr>
      <w:r>
        <w:rPr>
          <w:b w:val="0"/>
          <w:bCs w:val="0"/>
          <w:color w:val="000000"/>
          <w:spacing w:val="0"/>
          <w:w w:val="100"/>
          <w:position w:val="0"/>
          <w:sz w:val="20"/>
          <w:szCs w:val="20"/>
          <w:shd w:val="clear" w:color="auto" w:fill="auto"/>
          <w:lang w:val="ru-RU" w:eastAsia="ru-RU" w:bidi="ru-RU"/>
        </w:rPr>
        <w:t>Х</w:t>
      </w:r>
    </w:p>
    <w:p>
      <w:pPr>
        <w:pStyle w:val="Style11"/>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vertAlign w:val="superscript"/>
          <w:lang w:val="ru-RU" w:eastAsia="ru-RU" w:bidi="ru-RU"/>
        </w:rPr>
        <w:t>тах</w:t>
      </w:r>
      <w:r>
        <w:rPr>
          <w:color w:val="000000"/>
          <w:spacing w:val="0"/>
          <w:w w:val="100"/>
          <w:position w:val="0"/>
          <w:sz w:val="24"/>
          <w:szCs w:val="24"/>
          <w:shd w:val="clear" w:color="auto" w:fill="auto"/>
          <w:lang w:val="ru-RU" w:eastAsia="ru-RU" w:bidi="ru-RU"/>
        </w:rPr>
        <w:t xml:space="preserve"> - максимальное значение квалификации участников закупки,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19"/>
          <w:szCs w:val="19"/>
          <w:shd w:val="clear" w:color="auto" w:fill="auto"/>
          <w:lang w:val="ru-RU" w:eastAsia="ru-RU" w:bidi="ru-RU"/>
        </w:rPr>
        <w:t>Х</w:t>
      </w:r>
      <w:r>
        <w:rPr>
          <w:i/>
          <w:iCs/>
          <w:color w:val="000000"/>
          <w:spacing w:val="0"/>
          <w:w w:val="100"/>
          <w:position w:val="0"/>
          <w:sz w:val="13"/>
          <w:szCs w:val="13"/>
          <w:shd w:val="clear" w:color="auto" w:fill="auto"/>
          <w:lang w:val="ru-RU" w:eastAsia="ru-RU" w:bidi="ru-RU"/>
        </w:rPr>
        <w:t>'</w:t>
      </w:r>
      <w:r>
        <w:rPr>
          <w:color w:val="000000"/>
          <w:spacing w:val="0"/>
          <w:w w:val="100"/>
          <w:position w:val="0"/>
          <w:sz w:val="24"/>
          <w:szCs w:val="24"/>
          <w:shd w:val="clear" w:color="auto" w:fill="auto"/>
          <w:lang w:val="ru-RU" w:eastAsia="ru-RU" w:bidi="ru-RU"/>
        </w:rPr>
        <w:t xml:space="preserve"> - значение квалификации участников закупки, содержащееся в предложении участника закупки, заявка (часть заявки) которого подлежит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62" w:lineRule="auto"/>
        <w:ind w:left="0" w:right="0" w:firstLine="580"/>
        <w:jc w:val="left"/>
        <w:rPr>
          <w:sz w:val="22"/>
          <w:szCs w:val="22"/>
        </w:rPr>
      </w:pPr>
      <w:r>
        <w:rPr>
          <w:color w:val="000000"/>
          <w:spacing w:val="0"/>
          <w:w w:val="100"/>
          <w:position w:val="0"/>
          <w:sz w:val="22"/>
          <w:szCs w:val="22"/>
          <w:shd w:val="clear" w:color="auto" w:fill="auto"/>
          <w:lang w:val="ru-RU" w:eastAsia="ru-RU" w:bidi="ru-RU"/>
        </w:rPr>
        <w:t>Х</w:t>
      </w:r>
    </w:p>
    <w:p>
      <w:pPr>
        <w:pStyle w:val="Style11"/>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vertAlign w:val="superscript"/>
          <w:lang w:val="ru-RU" w:eastAsia="ru-RU" w:bidi="ru-RU"/>
        </w:rPr>
        <w:t>т1П</w:t>
      </w:r>
      <w:r>
        <w:rPr>
          <w:color w:val="000000"/>
          <w:spacing w:val="0"/>
          <w:w w:val="100"/>
          <w:position w:val="0"/>
          <w:sz w:val="24"/>
          <w:szCs w:val="24"/>
          <w:shd w:val="clear" w:color="auto" w:fill="auto"/>
          <w:lang w:val="ru-RU" w:eastAsia="ru-RU" w:bidi="ru-RU"/>
        </w:rPr>
        <w:t xml:space="preserve"> - минимальное значение квалификации участников закупки,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детализирующего показателя «Наибольшая цена одного из исполненных участником закупки договоров»:</w:t>
      </w:r>
    </w:p>
    <w:p>
      <w:pPr>
        <w:pStyle w:val="Style11"/>
        <w:keepNext w:val="0"/>
        <w:keepLines w:val="0"/>
        <w:widowControl w:val="0"/>
        <w:shd w:val="clear" w:color="auto" w:fill="auto"/>
        <w:bidi w:val="0"/>
        <w:spacing w:before="0" w:after="40" w:line="240" w:lineRule="auto"/>
        <w:ind w:left="580" w:right="0" w:firstLine="0"/>
        <w:jc w:val="both"/>
      </w:pPr>
      <w:r>
        <w:rPr>
          <w:color w:val="000000"/>
          <w:spacing w:val="0"/>
          <w:w w:val="100"/>
          <w:position w:val="0"/>
          <w:sz w:val="24"/>
          <w:szCs w:val="24"/>
          <w:shd w:val="clear" w:color="auto" w:fill="auto"/>
          <w:lang w:val="ru-RU" w:eastAsia="ru-RU" w:bidi="ru-RU"/>
        </w:rPr>
        <w:t xml:space="preserve">Значение количества баллов по детализирующему показателю, присваиваемых заявке, </w:t>
      </w:r>
      <w:r>
        <w:rPr>
          <w:color w:val="000000"/>
          <w:spacing w:val="0"/>
          <w:w w:val="100"/>
          <w:position w:val="0"/>
          <w:sz w:val="20"/>
          <w:szCs w:val="20"/>
          <w:shd w:val="clear" w:color="auto" w:fill="auto"/>
          <w:vertAlign w:val="superscript"/>
          <w:lang w:val="ru-RU" w:eastAsia="ru-RU" w:bidi="ru-RU"/>
        </w:rPr>
        <w:t>(</w:t>
      </w:r>
      <w:r>
        <w:rPr>
          <w:color w:val="000000"/>
          <w:spacing w:val="0"/>
          <w:w w:val="100"/>
          <w:position w:val="0"/>
          <w:sz w:val="20"/>
          <w:szCs w:val="20"/>
          <w:shd w:val="clear" w:color="auto" w:fill="auto"/>
          <w:lang w:val="ru-RU" w:eastAsia="ru-RU" w:bidi="ru-RU"/>
        </w:rPr>
        <w:t>БХ</w:t>
      </w:r>
      <w:r>
        <w:rPr>
          <w:i/>
          <w:iCs/>
          <w:color w:val="000000"/>
          <w:spacing w:val="0"/>
          <w:w w:val="100"/>
          <w:position w:val="0"/>
          <w:sz w:val="14"/>
          <w:szCs w:val="14"/>
          <w:shd w:val="clear" w:color="auto" w:fill="auto"/>
          <w:lang w:val="ru-RU" w:eastAsia="ru-RU" w:bidi="ru-RU"/>
        </w:rPr>
        <w:t>'</w:t>
      </w:r>
      <w:r>
        <w:rPr>
          <w:b/>
          <w:bCs/>
          <w:color w:val="000000"/>
          <w:spacing w:val="0"/>
          <w:w w:val="100"/>
          <w:position w:val="0"/>
          <w:sz w:val="32"/>
          <w:szCs w:val="32"/>
          <w:shd w:val="clear" w:color="auto" w:fill="auto"/>
          <w:lang w:val="ru-RU" w:eastAsia="ru-RU" w:bidi="ru-RU"/>
        </w:rPr>
        <w:t>)</w:t>
      </w:r>
      <w:r>
        <w:rPr>
          <w:color w:val="000000"/>
          <w:spacing w:val="0"/>
          <w:w w:val="100"/>
          <w:position w:val="0"/>
          <w:sz w:val="24"/>
          <w:szCs w:val="24"/>
          <w:shd w:val="clear" w:color="auto" w:fill="auto"/>
          <w:lang w:val="ru-RU" w:eastAsia="ru-RU" w:bidi="ru-RU"/>
        </w:rPr>
        <w:t>: рассчитывается по формуле:</w:t>
      </w:r>
      <w:r>
        <w:br w:type="page"/>
      </w:r>
    </w:p>
    <w:p>
      <w:pPr>
        <w:widowControl w:val="0"/>
        <w:spacing w:line="1" w:lineRule="exact"/>
      </w:pPr>
      <w:r>
        <mc:AlternateContent>
          <mc:Choice Requires="wps">
            <w:drawing>
              <wp:anchor distT="18415" distB="126365" distL="0" distR="0" simplePos="0" relativeHeight="125829383" behindDoc="0" locked="0" layoutInCell="1" allowOverlap="1">
                <wp:simplePos x="0" y="0"/>
                <wp:positionH relativeFrom="page">
                  <wp:posOffset>1080135</wp:posOffset>
                </wp:positionH>
                <wp:positionV relativeFrom="paragraph">
                  <wp:posOffset>18415</wp:posOffset>
                </wp:positionV>
                <wp:extent cx="1048385" cy="326390"/>
                <wp:wrapTopAndBottom/>
                <wp:docPr id="11" name="Shape 11"/>
                <a:graphic xmlns:a="http://schemas.openxmlformats.org/drawingml/2006/main">
                  <a:graphicData uri="http://schemas.microsoft.com/office/word/2010/wordprocessingShape">
                    <wps:wsp>
                      <wps:cNvSpPr txBox="1"/>
                      <wps:spPr>
                        <a:xfrm>
                          <a:ext cx="1048385" cy="3263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 xml:space="preserve">БХ = </w:t>
                            </w:r>
                            <w:r>
                              <w:rPr>
                                <w:b/>
                                <w:bCs/>
                                <w:color w:val="000000"/>
                                <w:spacing w:val="0"/>
                                <w:w w:val="100"/>
                                <w:position w:val="0"/>
                                <w:sz w:val="34"/>
                                <w:szCs w:val="34"/>
                                <w:shd w:val="clear" w:color="auto" w:fill="auto"/>
                                <w:lang w:val="ru-RU" w:eastAsia="ru-RU" w:bidi="ru-RU"/>
                              </w:rPr>
                              <w:t>(</w:t>
                            </w:r>
                            <w:r>
                              <w:rPr>
                                <w:color w:val="000000"/>
                                <w:spacing w:val="0"/>
                                <w:w w:val="100"/>
                                <w:position w:val="0"/>
                                <w:sz w:val="22"/>
                                <w:szCs w:val="22"/>
                                <w:shd w:val="clear" w:color="auto" w:fill="auto"/>
                                <w:lang w:val="ru-RU" w:eastAsia="ru-RU" w:bidi="ru-RU"/>
                              </w:rPr>
                              <w:t>Х</w:t>
                            </w:r>
                            <w:r>
                              <w:rPr>
                                <w:i/>
                                <w:iCs/>
                                <w:color w:val="000000"/>
                                <w:spacing w:val="0"/>
                                <w:w w:val="100"/>
                                <w:position w:val="0"/>
                                <w:sz w:val="22"/>
                                <w:szCs w:val="22"/>
                                <w:shd w:val="clear" w:color="auto" w:fill="auto"/>
                                <w:lang w:val="ru-RU" w:eastAsia="ru-RU" w:bidi="ru-RU"/>
                              </w:rPr>
                              <w:t>--Х.</w:t>
                            </w:r>
                            <w:r>
                              <w:rPr>
                                <w:b/>
                                <w:bCs/>
                                <w:color w:val="000000"/>
                                <w:spacing w:val="0"/>
                                <w:w w:val="100"/>
                                <w:position w:val="0"/>
                                <w:sz w:val="34"/>
                                <w:szCs w:val="34"/>
                                <w:shd w:val="clear" w:color="auto" w:fill="auto"/>
                                <w:lang w:val="ru-RU" w:eastAsia="ru-RU" w:bidi="ru-RU"/>
                              </w:rPr>
                              <w:t xml:space="preserve"> ) </w:t>
                            </w:r>
                            <w:r>
                              <w:rPr>
                                <w:color w:val="000000"/>
                                <w:spacing w:val="0"/>
                                <w:w w:val="100"/>
                                <w:position w:val="0"/>
                                <w:sz w:val="22"/>
                                <w:szCs w:val="22"/>
                                <w:shd w:val="clear" w:color="auto" w:fill="auto"/>
                                <w:lang w:val="ru-RU" w:eastAsia="ru-RU" w:bidi="ru-RU"/>
                              </w:rPr>
                              <w:t>х</w:t>
                            </w:r>
                          </w:p>
                        </w:txbxContent>
                      </wps:txbx>
                      <wps:bodyPr wrap="none" lIns="0" tIns="0" rIns="0" bIns="0">
                        <a:noAutoFit/>
                      </wps:bodyPr>
                    </wps:wsp>
                  </a:graphicData>
                </a:graphic>
              </wp:anchor>
            </w:drawing>
          </mc:Choice>
          <mc:Fallback>
            <w:pict>
              <v:shape id="_x0000_s1037" type="#_x0000_t202" style="position:absolute;margin-left:85.049999999999997pt;margin-top:1.45pt;width:82.549999999999997pt;height:25.699999999999999pt;z-index:-125829370;mso-wrap-distance-left:0;mso-wrap-distance-top:1.45pt;mso-wrap-distance-right:0;mso-wrap-distance-bottom:9.950000000000001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 xml:space="preserve">БХ = </w:t>
                      </w:r>
                      <w:r>
                        <w:rPr>
                          <w:b/>
                          <w:bCs/>
                          <w:color w:val="000000"/>
                          <w:spacing w:val="0"/>
                          <w:w w:val="100"/>
                          <w:position w:val="0"/>
                          <w:sz w:val="34"/>
                          <w:szCs w:val="34"/>
                          <w:shd w:val="clear" w:color="auto" w:fill="auto"/>
                          <w:lang w:val="ru-RU" w:eastAsia="ru-RU" w:bidi="ru-RU"/>
                        </w:rPr>
                        <w:t>(</w:t>
                      </w:r>
                      <w:r>
                        <w:rPr>
                          <w:color w:val="000000"/>
                          <w:spacing w:val="0"/>
                          <w:w w:val="100"/>
                          <w:position w:val="0"/>
                          <w:sz w:val="22"/>
                          <w:szCs w:val="22"/>
                          <w:shd w:val="clear" w:color="auto" w:fill="auto"/>
                          <w:lang w:val="ru-RU" w:eastAsia="ru-RU" w:bidi="ru-RU"/>
                        </w:rPr>
                        <w:t>Х</w:t>
                      </w:r>
                      <w:r>
                        <w:rPr>
                          <w:i/>
                          <w:iCs/>
                          <w:color w:val="000000"/>
                          <w:spacing w:val="0"/>
                          <w:w w:val="100"/>
                          <w:position w:val="0"/>
                          <w:sz w:val="22"/>
                          <w:szCs w:val="22"/>
                          <w:shd w:val="clear" w:color="auto" w:fill="auto"/>
                          <w:lang w:val="ru-RU" w:eastAsia="ru-RU" w:bidi="ru-RU"/>
                        </w:rPr>
                        <w:t>--Х.</w:t>
                      </w:r>
                      <w:r>
                        <w:rPr>
                          <w:b/>
                          <w:bCs/>
                          <w:color w:val="000000"/>
                          <w:spacing w:val="0"/>
                          <w:w w:val="100"/>
                          <w:position w:val="0"/>
                          <w:sz w:val="34"/>
                          <w:szCs w:val="34"/>
                          <w:shd w:val="clear" w:color="auto" w:fill="auto"/>
                          <w:lang w:val="ru-RU" w:eastAsia="ru-RU" w:bidi="ru-RU"/>
                        </w:rPr>
                        <w:t xml:space="preserve"> ) </w:t>
                      </w:r>
                      <w:r>
                        <w:rPr>
                          <w:color w:val="000000"/>
                          <w:spacing w:val="0"/>
                          <w:w w:val="100"/>
                          <w:position w:val="0"/>
                          <w:sz w:val="22"/>
                          <w:szCs w:val="22"/>
                          <w:shd w:val="clear" w:color="auto" w:fill="auto"/>
                          <w:lang w:val="ru-RU" w:eastAsia="ru-RU" w:bidi="ru-RU"/>
                        </w:rPr>
                        <w:t>х</w:t>
                      </w:r>
                    </w:p>
                  </w:txbxContent>
                </v:textbox>
                <w10:wrap type="topAndBottom" anchorx="page"/>
              </v:shape>
            </w:pict>
          </mc:Fallback>
        </mc:AlternateContent>
      </w:r>
      <w:r>
        <mc:AlternateContent>
          <mc:Choice Requires="wps">
            <w:drawing>
              <wp:anchor distT="0" distB="269875" distL="0" distR="0" simplePos="0" relativeHeight="125829385" behindDoc="0" locked="0" layoutInCell="1" allowOverlap="1">
                <wp:simplePos x="0" y="0"/>
                <wp:positionH relativeFrom="page">
                  <wp:posOffset>2378710</wp:posOffset>
                </wp:positionH>
                <wp:positionV relativeFrom="paragraph">
                  <wp:posOffset>0</wp:posOffset>
                </wp:positionV>
                <wp:extent cx="222250" cy="201295"/>
                <wp:wrapTopAndBottom/>
                <wp:docPr id="13" name="Shape 13"/>
                <a:graphic xmlns:a="http://schemas.openxmlformats.org/drawingml/2006/main">
                  <a:graphicData uri="http://schemas.microsoft.com/office/word/2010/wordprocessingShape">
                    <wps:wsp>
                      <wps:cNvSpPr txBox="1"/>
                      <wps:spPr>
                        <a:xfrm>
                          <a:ext cx="222250" cy="201295"/>
                        </a:xfrm>
                        <a:prstGeom prst="rect"/>
                        <a:noFill/>
                      </wps:spPr>
                      <wps:txbx>
                        <w:txbxContent>
                          <w:p>
                            <w:pPr>
                              <w:pStyle w:val="Style11"/>
                              <w:keepNext w:val="0"/>
                              <w:keepLines w:val="0"/>
                              <w:widowControl w:val="0"/>
                              <w:pBdr>
                                <w:bottom w:val="single" w:sz="4" w:space="0" w:color="auto"/>
                              </w:pBdr>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100</w:t>
                            </w:r>
                          </w:p>
                        </w:txbxContent>
                      </wps:txbx>
                      <wps:bodyPr wrap="none" lIns="0" tIns="0" rIns="0" bIns="0">
                        <a:noAutoFit/>
                      </wps:bodyPr>
                    </wps:wsp>
                  </a:graphicData>
                </a:graphic>
              </wp:anchor>
            </w:drawing>
          </mc:Choice>
          <mc:Fallback>
            <w:pict>
              <v:shape id="_x0000_s1039" type="#_x0000_t202" style="position:absolute;margin-left:187.30000000000001pt;margin-top:0;width:17.5pt;height:15.85pt;z-index:-125829368;mso-wrap-distance-left:0;mso-wrap-distance-right:0;mso-wrap-distance-bottom:21.25pt;mso-position-horizontal-relative:page" filled="f" stroked="f">
                <v:textbox inset="0,0,0,0">
                  <w:txbxContent>
                    <w:p>
                      <w:pPr>
                        <w:pStyle w:val="Style11"/>
                        <w:keepNext w:val="0"/>
                        <w:keepLines w:val="0"/>
                        <w:widowControl w:val="0"/>
                        <w:pBdr>
                          <w:bottom w:val="single" w:sz="4" w:space="0" w:color="auto"/>
                        </w:pBdr>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100</w:t>
                      </w:r>
                    </w:p>
                  </w:txbxContent>
                </v:textbox>
                <w10:wrap type="topAndBottom" anchorx="page"/>
              </v:shape>
            </w:pict>
          </mc:Fallback>
        </mc:AlternateContent>
      </w:r>
      <w:r>
        <mc:AlternateContent>
          <mc:Choice Requires="wps">
            <w:drawing>
              <wp:anchor distT="204470" distB="50165" distL="0" distR="0" simplePos="0" relativeHeight="125829387" behindDoc="0" locked="0" layoutInCell="1" allowOverlap="1">
                <wp:simplePos x="0" y="0"/>
                <wp:positionH relativeFrom="page">
                  <wp:posOffset>2150110</wp:posOffset>
                </wp:positionH>
                <wp:positionV relativeFrom="paragraph">
                  <wp:posOffset>204470</wp:posOffset>
                </wp:positionV>
                <wp:extent cx="664210" cy="216535"/>
                <wp:wrapTopAndBottom/>
                <wp:docPr id="15" name="Shape 15"/>
                <a:graphic xmlns:a="http://schemas.openxmlformats.org/drawingml/2006/main">
                  <a:graphicData uri="http://schemas.microsoft.com/office/word/2010/wordprocessingShape">
                    <wps:wsp>
                      <wps:cNvSpPr txBox="1"/>
                      <wps:spPr>
                        <a:xfrm>
                          <a:ext cx="66421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vertAlign w:val="superscript"/>
                                <w:lang w:val="ru-RU" w:eastAsia="ru-RU" w:bidi="ru-RU"/>
                              </w:rPr>
                              <w:t>Х</w:t>
                            </w:r>
                            <w:r>
                              <w:rPr>
                                <w:i/>
                                <w:iCs/>
                                <w:color w:val="000000"/>
                                <w:spacing w:val="0"/>
                                <w:w w:val="100"/>
                                <w:position w:val="0"/>
                                <w:sz w:val="15"/>
                                <w:szCs w:val="15"/>
                                <w:shd w:val="clear" w:color="auto" w:fill="auto"/>
                                <w:lang w:val="ru-RU" w:eastAsia="ru-RU" w:bidi="ru-RU"/>
                              </w:rPr>
                              <w:t>тах</w:t>
                            </w:r>
                            <w:r>
                              <w:rPr>
                                <w:color w:val="000000"/>
                                <w:spacing w:val="0"/>
                                <w:w w:val="100"/>
                                <w:position w:val="0"/>
                                <w:sz w:val="15"/>
                                <w:szCs w:val="15"/>
                                <w:shd w:val="clear" w:color="auto" w:fill="auto"/>
                                <w:lang w:val="ru-RU" w:eastAsia="ru-RU" w:bidi="ru-RU"/>
                              </w:rPr>
                              <w:t xml:space="preserve"> </w:t>
                            </w:r>
                            <w:r>
                              <w:rPr>
                                <w:color w:val="000000"/>
                                <w:spacing w:val="0"/>
                                <w:w w:val="100"/>
                                <w:position w:val="0"/>
                                <w:sz w:val="15"/>
                                <w:szCs w:val="15"/>
                                <w:shd w:val="clear" w:color="auto" w:fill="auto"/>
                                <w:vertAlign w:val="superscript"/>
                                <w:lang w:val="ru-RU" w:eastAsia="ru-RU" w:bidi="ru-RU"/>
                              </w:rPr>
                              <w:t>Х</w:t>
                            </w:r>
                            <w:r>
                              <w:rPr>
                                <w:i/>
                                <w:iCs/>
                                <w:color w:val="000000"/>
                                <w:spacing w:val="0"/>
                                <w:w w:val="100"/>
                                <w:position w:val="0"/>
                                <w:sz w:val="15"/>
                                <w:szCs w:val="15"/>
                                <w:shd w:val="clear" w:color="auto" w:fill="auto"/>
                                <w:lang w:val="ru-RU" w:eastAsia="ru-RU" w:bidi="ru-RU"/>
                              </w:rPr>
                              <w:t>та</w:t>
                            </w:r>
                          </w:p>
                        </w:txbxContent>
                      </wps:txbx>
                      <wps:bodyPr wrap="none" lIns="0" tIns="0" rIns="0" bIns="0">
                        <a:noAutoFit/>
                      </wps:bodyPr>
                    </wps:wsp>
                  </a:graphicData>
                </a:graphic>
              </wp:anchor>
            </w:drawing>
          </mc:Choice>
          <mc:Fallback>
            <w:pict>
              <v:shape id="_x0000_s1041" type="#_x0000_t202" style="position:absolute;margin-left:169.30000000000001pt;margin-top:16.100000000000001pt;width:52.300000000000004pt;height:17.050000000000001pt;z-index:-125829366;mso-wrap-distance-left:0;mso-wrap-distance-top:16.100000000000001pt;mso-wrap-distance-right:0;mso-wrap-distance-bottom:3.95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vertAlign w:val="superscript"/>
                          <w:lang w:val="ru-RU" w:eastAsia="ru-RU" w:bidi="ru-RU"/>
                        </w:rPr>
                        <w:t>Х</w:t>
                      </w:r>
                      <w:r>
                        <w:rPr>
                          <w:i/>
                          <w:iCs/>
                          <w:color w:val="000000"/>
                          <w:spacing w:val="0"/>
                          <w:w w:val="100"/>
                          <w:position w:val="0"/>
                          <w:sz w:val="15"/>
                          <w:szCs w:val="15"/>
                          <w:shd w:val="clear" w:color="auto" w:fill="auto"/>
                          <w:lang w:val="ru-RU" w:eastAsia="ru-RU" w:bidi="ru-RU"/>
                        </w:rPr>
                        <w:t>тах</w:t>
                      </w:r>
                      <w:r>
                        <w:rPr>
                          <w:color w:val="000000"/>
                          <w:spacing w:val="0"/>
                          <w:w w:val="100"/>
                          <w:position w:val="0"/>
                          <w:sz w:val="15"/>
                          <w:szCs w:val="15"/>
                          <w:shd w:val="clear" w:color="auto" w:fill="auto"/>
                          <w:lang w:val="ru-RU" w:eastAsia="ru-RU" w:bidi="ru-RU"/>
                        </w:rPr>
                        <w:t xml:space="preserve"> </w:t>
                      </w:r>
                      <w:r>
                        <w:rPr>
                          <w:color w:val="000000"/>
                          <w:spacing w:val="0"/>
                          <w:w w:val="100"/>
                          <w:position w:val="0"/>
                          <w:sz w:val="15"/>
                          <w:szCs w:val="15"/>
                          <w:shd w:val="clear" w:color="auto" w:fill="auto"/>
                          <w:vertAlign w:val="superscript"/>
                          <w:lang w:val="ru-RU" w:eastAsia="ru-RU" w:bidi="ru-RU"/>
                        </w:rPr>
                        <w:t>Х</w:t>
                      </w:r>
                      <w:r>
                        <w:rPr>
                          <w:i/>
                          <w:iCs/>
                          <w:color w:val="000000"/>
                          <w:spacing w:val="0"/>
                          <w:w w:val="100"/>
                          <w:position w:val="0"/>
                          <w:sz w:val="15"/>
                          <w:szCs w:val="15"/>
                          <w:shd w:val="clear" w:color="auto" w:fill="auto"/>
                          <w:lang w:val="ru-RU" w:eastAsia="ru-RU" w:bidi="ru-RU"/>
                        </w:rPr>
                        <w:t>та</w:t>
                      </w:r>
                    </w:p>
                  </w:txbxContent>
                </v:textbox>
                <w10:wrap type="topAndBottom" anchorx="page"/>
              </v:shape>
            </w:pict>
          </mc:Fallback>
        </mc:AlternateContent>
      </w:r>
    </w:p>
    <w:p>
      <w:pPr>
        <w:pStyle w:val="Style11"/>
        <w:keepNext w:val="0"/>
        <w:keepLines w:val="0"/>
        <w:widowControl w:val="0"/>
        <w:shd w:val="clear" w:color="auto" w:fill="auto"/>
        <w:bidi w:val="0"/>
        <w:spacing w:before="0" w:after="0" w:line="240" w:lineRule="auto"/>
        <w:ind w:left="0" w:right="0" w:firstLine="580"/>
        <w:jc w:val="both"/>
      </w:pPr>
      <w:r>
        <w:rPr>
          <w:i/>
          <w:iCs/>
          <w:color w:val="000000"/>
          <w:spacing w:val="0"/>
          <w:w w:val="100"/>
          <w:position w:val="0"/>
          <w:sz w:val="24"/>
          <w:szCs w:val="24"/>
          <w:shd w:val="clear" w:color="auto" w:fill="auto"/>
          <w:lang w:val="ru-RU" w:eastAsia="ru-RU" w:bidi="ru-RU"/>
        </w:rPr>
        <w:t>где:</w:t>
      </w:r>
    </w:p>
    <w:p>
      <w:pPr>
        <w:pStyle w:val="Style8"/>
        <w:keepNext w:val="0"/>
        <w:keepLines w:val="0"/>
        <w:widowControl w:val="0"/>
        <w:shd w:val="clear" w:color="auto" w:fill="auto"/>
        <w:bidi w:val="0"/>
        <w:spacing w:before="0" w:after="0" w:line="240" w:lineRule="auto"/>
        <w:ind w:left="0" w:right="0" w:firstLine="580"/>
        <w:jc w:val="both"/>
        <w:rPr>
          <w:sz w:val="20"/>
          <w:szCs w:val="20"/>
        </w:rPr>
      </w:pPr>
      <w:r>
        <w:rPr>
          <w:b w:val="0"/>
          <w:bCs w:val="0"/>
          <w:i/>
          <w:iCs/>
          <w:color w:val="000000"/>
          <w:spacing w:val="0"/>
          <w:w w:val="100"/>
          <w:position w:val="0"/>
          <w:sz w:val="20"/>
          <w:szCs w:val="20"/>
          <w:shd w:val="clear" w:color="auto" w:fill="auto"/>
          <w:lang w:val="ru-RU" w:eastAsia="ru-RU" w:bidi="ru-RU"/>
        </w:rPr>
        <w:t>Х</w:t>
      </w:r>
    </w:p>
    <w:p>
      <w:pPr>
        <w:pStyle w:val="Style11"/>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vertAlign w:val="superscript"/>
          <w:lang w:val="ru-RU" w:eastAsia="ru-RU" w:bidi="ru-RU"/>
        </w:rPr>
        <w:t>тах</w:t>
      </w:r>
      <w:r>
        <w:rPr>
          <w:i/>
          <w:i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 максимальное значение квалификации участников закупки,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Х</w:t>
      </w:r>
    </w:p>
    <w:p>
      <w:pPr>
        <w:pStyle w:val="Style11"/>
        <w:keepNext w:val="0"/>
        <w:keepLines w:val="0"/>
        <w:widowControl w:val="0"/>
        <w:numPr>
          <w:ilvl w:val="0"/>
          <w:numId w:val="11"/>
        </w:numPr>
        <w:shd w:val="clear" w:color="auto" w:fill="auto"/>
        <w:tabs>
          <w:tab w:pos="9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значение квалификации участников закупки, содержащееся в предложении участника закупки, заявка (часть заявки) которого подлежит в соответствии с Законом №44-ФЗ оценке по критерию оценки «квалификация участников закупки»;</w:t>
      </w:r>
    </w:p>
    <w:p>
      <w:pPr>
        <w:pStyle w:val="Style8"/>
        <w:keepNext w:val="0"/>
        <w:keepLines w:val="0"/>
        <w:widowControl w:val="0"/>
        <w:shd w:val="clear" w:color="auto" w:fill="auto"/>
        <w:bidi w:val="0"/>
        <w:spacing w:before="0" w:after="0" w:line="240" w:lineRule="auto"/>
        <w:ind w:left="0" w:right="0" w:firstLine="580"/>
        <w:jc w:val="both"/>
        <w:rPr>
          <w:sz w:val="20"/>
          <w:szCs w:val="20"/>
        </w:rPr>
      </w:pPr>
      <w:r>
        <w:rPr>
          <w:b w:val="0"/>
          <w:bCs w:val="0"/>
          <w:color w:val="000000"/>
          <w:spacing w:val="0"/>
          <w:w w:val="100"/>
          <w:position w:val="0"/>
          <w:sz w:val="20"/>
          <w:szCs w:val="20"/>
          <w:shd w:val="clear" w:color="auto" w:fill="auto"/>
          <w:lang w:val="ru-RU" w:eastAsia="ru-RU" w:bidi="ru-RU"/>
        </w:rPr>
        <w:t>Х</w:t>
      </w:r>
    </w:p>
    <w:p>
      <w:pPr>
        <w:pStyle w:val="Style11"/>
        <w:keepNext w:val="0"/>
        <w:keepLines w:val="0"/>
        <w:widowControl w:val="0"/>
        <w:numPr>
          <w:ilvl w:val="0"/>
          <w:numId w:val="11"/>
        </w:numPr>
        <w:shd w:val="clear" w:color="auto" w:fill="auto"/>
        <w:tabs>
          <w:tab w:pos="113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минимальное значение квалификации участников закупки, содержащееся в заявках (частях заявок), подлежащих в соответствии с Законом №44-ФЗ оценке по критерию оценки «квалификация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Разделом III Порядка определены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Порядка, а именно:</w:t>
      </w:r>
    </w:p>
    <w:p>
      <w:pPr>
        <w:pStyle w:val="Style11"/>
        <w:keepNext w:val="0"/>
        <w:keepLines w:val="0"/>
        <w:widowControl w:val="0"/>
        <w:numPr>
          <w:ilvl w:val="0"/>
          <w:numId w:val="11"/>
        </w:numPr>
        <w:shd w:val="clear" w:color="auto" w:fill="auto"/>
        <w:tabs>
          <w:tab w:pos="96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К оценке принимаются исключительно исполненные договор (договоры), предусматривающие выполнение работ по ремонту, содержанию, капитальному ремонту, строительству, реконструкции автомобильной дороги;</w:t>
      </w:r>
    </w:p>
    <w:p>
      <w:pPr>
        <w:pStyle w:val="Style11"/>
        <w:keepNext w:val="0"/>
        <w:keepLines w:val="0"/>
        <w:widowControl w:val="0"/>
        <w:numPr>
          <w:ilvl w:val="0"/>
          <w:numId w:val="11"/>
        </w:numPr>
        <w:shd w:val="clear" w:color="auto" w:fill="auto"/>
        <w:tabs>
          <w:tab w:pos="93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оценке принимаются следующие документы, подтверждающие наличие у участника закупки опыта выполнения работы, связанного с предметом контракта: исполненный договор (договоры), акт (акты) приемки выполненных работ, составленные при исполнении такого договора (договоров).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указанные документы принимаются к оценке в случае их предоставления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w:t>
      </w:r>
    </w:p>
    <w:p>
      <w:pPr>
        <w:pStyle w:val="Style11"/>
        <w:keepNext w:val="0"/>
        <w:keepLines w:val="0"/>
        <w:widowControl w:val="0"/>
        <w:numPr>
          <w:ilvl w:val="0"/>
          <w:numId w:val="11"/>
        </w:numPr>
        <w:shd w:val="clear" w:color="auto" w:fill="auto"/>
        <w:tabs>
          <w:tab w:pos="93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оценке принимаются исключительно исполненные договор (договоры), при исполнении которых Подрядчиком исполнены требования об уплате неустоек (штрафов, пеней) (в случае начисления неустоек).</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Такие документы направляются в форме электронных документов или электронных образов </w:t>
      </w:r>
      <w:r>
        <w:rPr>
          <w:color w:val="000000"/>
          <w:spacing w:val="0"/>
          <w:w w:val="100"/>
          <w:position w:val="0"/>
          <w:sz w:val="24"/>
          <w:szCs w:val="24"/>
          <w:shd w:val="clear" w:color="auto" w:fill="auto"/>
          <w:lang w:val="ru-RU" w:eastAsia="ru-RU" w:bidi="ru-RU"/>
        </w:rPr>
        <w:t>документов;</w:t>
      </w:r>
    </w:p>
    <w:p>
      <w:pPr>
        <w:pStyle w:val="Style11"/>
        <w:keepNext w:val="0"/>
        <w:keepLines w:val="0"/>
        <w:widowControl w:val="0"/>
        <w:numPr>
          <w:ilvl w:val="0"/>
          <w:numId w:val="11"/>
        </w:numPr>
        <w:shd w:val="clear" w:color="auto" w:fill="auto"/>
        <w:tabs>
          <w:tab w:pos="93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Последний акт, составленный при исполнении договора и предусмотренный пунктом 2 настоящего раздела, должен быть подписан не ранее чем за 5 лет до даты окончания срока подачи </w:t>
      </w:r>
      <w:r>
        <w:rPr>
          <w:color w:val="000000"/>
          <w:spacing w:val="0"/>
          <w:w w:val="100"/>
          <w:position w:val="0"/>
          <w:sz w:val="24"/>
          <w:szCs w:val="24"/>
          <w:shd w:val="clear" w:color="auto" w:fill="auto"/>
          <w:lang w:val="ru-RU" w:eastAsia="ru-RU" w:bidi="ru-RU"/>
        </w:rPr>
        <w:t>заявок;</w:t>
      </w:r>
    </w:p>
    <w:p>
      <w:pPr>
        <w:pStyle w:val="Style11"/>
        <w:keepNext w:val="0"/>
        <w:keepLines w:val="0"/>
        <w:widowControl w:val="0"/>
        <w:numPr>
          <w:ilvl w:val="0"/>
          <w:numId w:val="11"/>
        </w:numPr>
        <w:shd w:val="clear" w:color="auto" w:fill="auto"/>
        <w:tabs>
          <w:tab w:pos="93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 44-ФЗ.».</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1"/>
        <w:keepNext w:val="0"/>
        <w:keepLines w:val="0"/>
        <w:widowControl w:val="0"/>
        <w:numPr>
          <w:ilvl w:val="0"/>
          <w:numId w:val="13"/>
        </w:numPr>
        <w:shd w:val="clear" w:color="auto" w:fill="auto"/>
        <w:tabs>
          <w:tab w:pos="94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1"/>
        <w:keepNext w:val="0"/>
        <w:keepLines w:val="0"/>
        <w:widowControl w:val="0"/>
        <w:numPr>
          <w:ilvl w:val="0"/>
          <w:numId w:val="15"/>
        </w:numPr>
        <w:shd w:val="clear" w:color="auto" w:fill="auto"/>
        <w:tabs>
          <w:tab w:pos="93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1"/>
        <w:keepNext w:val="0"/>
        <w:keepLines w:val="0"/>
        <w:widowControl w:val="0"/>
        <w:numPr>
          <w:ilvl w:val="0"/>
          <w:numId w:val="15"/>
        </w:numPr>
        <w:shd w:val="clear" w:color="auto" w:fill="auto"/>
        <w:tabs>
          <w:tab w:pos="94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w:t>
      </w:r>
      <w:r>
        <w:rPr>
          <w:color w:val="000000"/>
          <w:spacing w:val="0"/>
          <w:w w:val="100"/>
          <w:position w:val="0"/>
          <w:sz w:val="24"/>
          <w:szCs w:val="24"/>
          <w:shd w:val="clear" w:color="auto" w:fill="auto"/>
          <w:lang w:val="ru-RU" w:eastAsia="ru-RU" w:bidi="ru-RU"/>
        </w:rPr>
        <w:t>такой критерий установлен извещением об осуществлении закупки);</w:t>
      </w:r>
    </w:p>
    <w:p>
      <w:pPr>
        <w:pStyle w:val="Style11"/>
        <w:keepNext w:val="0"/>
        <w:keepLines w:val="0"/>
        <w:widowControl w:val="0"/>
        <w:numPr>
          <w:ilvl w:val="0"/>
          <w:numId w:val="13"/>
        </w:numPr>
        <w:shd w:val="clear" w:color="auto" w:fill="auto"/>
        <w:tabs>
          <w:tab w:pos="95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Протокола рассмотрения и оценки вторых частей заявок на участие в открытом конкурсе в электронной форме от 09.10.2024 №ПРО111, Протокола подведения итогов определения поставщика (подрядчика, исполнителя) от 10.10.2024 №ИЭОК1 конкурсной комиссией была осуществлена оценка вторых частей заявок на участие в закупке по критерию, предусмотренному пунктом 4 части 1 статьи 32 Закона о контрактной системе, и принято решение о присуждении заявке подателя жалобы по указанному критерию оценки 8 баллов, второму участнику закупки, признанному победителем - 40 баллов.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Податель жалобы указывает на то, что его заявке начислено следующее количество баллов:</w:t>
      </w:r>
    </w:p>
    <w:p>
      <w:pPr>
        <w:pStyle w:val="Style11"/>
        <w:keepNext w:val="0"/>
        <w:keepLines w:val="0"/>
        <w:widowControl w:val="0"/>
        <w:numPr>
          <w:ilvl w:val="0"/>
          <w:numId w:val="17"/>
        </w:numPr>
        <w:shd w:val="clear" w:color="auto" w:fill="auto"/>
        <w:tabs>
          <w:tab w:pos="91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 - 20 баллов за 10 договоров;</w:t>
      </w:r>
    </w:p>
    <w:p>
      <w:pPr>
        <w:pStyle w:val="Style11"/>
        <w:keepNext w:val="0"/>
        <w:keepLines w:val="0"/>
        <w:widowControl w:val="0"/>
        <w:numPr>
          <w:ilvl w:val="0"/>
          <w:numId w:val="17"/>
        </w:numPr>
        <w:shd w:val="clear" w:color="auto" w:fill="auto"/>
        <w:tabs>
          <w:tab w:pos="90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 - 0 баллов за стоимость опыта 5 735 218 295,16 руб.;</w:t>
      </w:r>
    </w:p>
    <w:p>
      <w:pPr>
        <w:pStyle w:val="Style11"/>
        <w:keepNext w:val="0"/>
        <w:keepLines w:val="0"/>
        <w:widowControl w:val="0"/>
        <w:numPr>
          <w:ilvl w:val="0"/>
          <w:numId w:val="17"/>
        </w:numPr>
        <w:shd w:val="clear" w:color="auto" w:fill="auto"/>
        <w:tabs>
          <w:tab w:pos="90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 - 0 баллов за цену максимального контракта 1 870 022 123 руб.</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податель жалобы обратил внимание на то, что согласно его заявке:</w:t>
      </w:r>
    </w:p>
    <w:p>
      <w:pPr>
        <w:pStyle w:val="Style11"/>
        <w:keepNext w:val="0"/>
        <w:keepLines w:val="0"/>
        <w:widowControl w:val="0"/>
        <w:numPr>
          <w:ilvl w:val="0"/>
          <w:numId w:val="19"/>
        </w:numPr>
        <w:shd w:val="clear" w:color="auto" w:fill="auto"/>
        <w:tabs>
          <w:tab w:pos="84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количество представленных договоров - 10;</w:t>
      </w:r>
    </w:p>
    <w:p>
      <w:pPr>
        <w:pStyle w:val="Style11"/>
        <w:keepNext w:val="0"/>
        <w:keepLines w:val="0"/>
        <w:widowControl w:val="0"/>
        <w:numPr>
          <w:ilvl w:val="0"/>
          <w:numId w:val="19"/>
        </w:numPr>
        <w:shd w:val="clear" w:color="auto" w:fill="auto"/>
        <w:tabs>
          <w:tab w:pos="84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 - 26 851 797 557,68 руб. (вместо 5 735 218 295,16 руб.);</w:t>
      </w:r>
    </w:p>
    <w:p>
      <w:pPr>
        <w:pStyle w:val="Style11"/>
        <w:keepNext w:val="0"/>
        <w:keepLines w:val="0"/>
        <w:widowControl w:val="0"/>
        <w:numPr>
          <w:ilvl w:val="0"/>
          <w:numId w:val="19"/>
        </w:numPr>
        <w:shd w:val="clear" w:color="auto" w:fill="auto"/>
        <w:tabs>
          <w:tab w:pos="84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наибольшая цена одного из договоров - 4 594 697,00 руб. (вместо 1 870 022 123 руб.)</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конкурсной комиссией присвоено победителю закупки - ООО «Сибна» следующее количество баллов:</w:t>
      </w:r>
    </w:p>
    <w:p>
      <w:pPr>
        <w:pStyle w:val="Style11"/>
        <w:keepNext w:val="0"/>
        <w:keepLines w:val="0"/>
        <w:widowControl w:val="0"/>
        <w:numPr>
          <w:ilvl w:val="0"/>
          <w:numId w:val="21"/>
        </w:numPr>
        <w:shd w:val="clear" w:color="auto" w:fill="auto"/>
        <w:tabs>
          <w:tab w:pos="91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 - 20 баллов за 5 договоров;</w:t>
      </w:r>
    </w:p>
    <w:p>
      <w:pPr>
        <w:pStyle w:val="Style11"/>
        <w:keepNext w:val="0"/>
        <w:keepLines w:val="0"/>
        <w:widowControl w:val="0"/>
        <w:numPr>
          <w:ilvl w:val="0"/>
          <w:numId w:val="21"/>
        </w:numPr>
        <w:shd w:val="clear" w:color="auto" w:fill="auto"/>
        <w:tabs>
          <w:tab w:pos="90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 - 75 баллов за стоимость опыта 8 876 649 192,75 руб.;</w:t>
      </w:r>
    </w:p>
    <w:p>
      <w:pPr>
        <w:pStyle w:val="Style11"/>
        <w:keepNext w:val="0"/>
        <w:keepLines w:val="0"/>
        <w:widowControl w:val="0"/>
        <w:numPr>
          <w:ilvl w:val="0"/>
          <w:numId w:val="21"/>
        </w:numPr>
        <w:shd w:val="clear" w:color="auto" w:fill="auto"/>
        <w:tabs>
          <w:tab w:pos="90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 - 5 баллов за цену максимального контракта 3 453 496 119,00 руб.</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Податель жалобы указал на то, что по детализирующему показателю «Общее количество исполненных участником закупки договоров» обоим участникам закупки начислено по 20 баллов, в то время как ООО «Сибна» представлено меньшее количество договоров по сравнению с подателем жалобы (5 договоров к 10), что, по мнению подателя жалобы, привело к неверному начислению 20 баллов, вместо положенных 0 баллов.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отмечает, что для детализирующего показателя «Общее количество исполненных участником закупки договоров» заказчиком установлено предельное максимальное значение квалификации участников закупки - 5 контрактов, и расчет должен был производится по формуле, установленной в Порядке.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подателем жалобы по данному детализирующему показателю было предоставлено 10 контрактов, а ООО «Сибна» предоставило 44 контракта.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Учитывая, что заказчиком было установлено предельное максимальное значение квалификации участников закупки - 5 контрактов, то у обоих участников учитывалось по 5 контрактов. Так как в случае, если участником предоставлено контрактов выше предельного максимального значения, то Х1 будет в размере, предусмотренном для соответствующего предельного значения квалификации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по детализирующему показателю «Общее количество исполненных участником закупки договоров» участникам закупки было присвоено одинаковое количество балов - 20.</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пришла к выводу о том, что конкурсной комиссией оценка заявок была произведена в соответствии с положениями Порядка, тем самым в данной части доводы подателя жалобы являются необоснованными.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пояснениям заказчика по детализирующему показателю «Общая цена исполненных участником закупки договоров» расчет проводился по аналогии в порядком для детализирующего показателя «Общее количество исполненных участником закупки договоров» в части установления заказчиком предельного максимального значения квалификации участников закупки - 5 договоров. При этом конкурсная комиссия учитывала пять договоров, представленных каждым участником, цены которых были самые высокие по отношению к остальным, и не принимала к оценке те договоры, по которым участником закупки не были исполнены требования об уплате неустоек.</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Комиссия отмечает, что согласно Порядку заказчика для детализирующих показателей «Общая цена исполненных участником закупки договоров» и «Наибольшая цена одного из исполненных участником закупки договоров» не установлены предельные максимальные и минимальные значения квалификации участников.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вышеизложенного Комиссия приходит к выводу о том, что действия конкурсной комиссии по проведению оценки заявок по детализирующему показателю «Общая цена исполненных участником закупки договоров» с ограничением учета только 5 договоров является неправомерным и не соответствует Порядку заказчика.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Комиссией установлен факт неединообразного подхода конкурсной комиссии в отношении оценки заявки подателя жалобы и заявки ООО «Сибна». Так, конкурсной комиссией был принят к оценке один из контрактов ООО «Сибна», в отношении которого на официальном сайте xакирк^.доV.ш имеются сведения о претензии, которая не исполнена.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в данной части жалоба является обоснованной,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Иные доводы подателя жалобы оценены и отклонены Комиссией как не имеющие правового основания при рассмотрении жалобы по существу, с учетом выявленного в действиях конкурсной комиссии нарушения.</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Относительно присвоения конкурсной комиссией заявкам баллов, Комиссия считает необходимым отметить следующее.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 12 статьи 99 Закона о контактной системе устанавливает, что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Закона о контрактной системе. Такие результаты могут быть обжалованы участниками закупок в судебном порядке.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 окончательных предложений.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Указанные нормы ограничивают право контрольного органа в сфере закупок на рассмотрение доводов жалобы в части результатов оценки заявок, то есть в части проверки результатов начисления конкурсной комиссией баллов и самостоятельной оценке квалификации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контрольный орган в сфере закупок вправе осуществлять проверку документов и информации, представленных в составе заявок участников конкурса, для решения вопроса о правомерности принятия членами конкурсной комиссии тех или иных документов и сведений к последующей оценке, то есть на проверку соблюдения конкурсной комиссией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глава 6 Закона о контактной системе не содержит основания для непринятия жалобы к рассмотрению по существу в случае, если заинтересованное лицо направляет жалобу на результаты оценки заявок на участие в конкурсе.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Вышеуказанная позиция коррелирует практике контрольных органов, например: Решение ФАС России от 11.07.2023 по делу № 28/06/105-176/2023; Решение ФАС России от 26.06.2023 по делу № 28/06/105-1496/2023; Решение ФАС России от 10.07.2023 по делу № 23/44/99/76.</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не дает правовую оценку действиям конкурсной комиссии по присвоению заявкам именно в части количества баллов.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результате рассмотрения жалобы, проведения внеплановой проверки, руководствуясь частями 3, 12, 15, 22 статьи 99, частями 6, 8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Комиссия Красноярского УФАС России решила:</w:t>
      </w:r>
    </w:p>
    <w:p>
      <w:pPr>
        <w:pStyle w:val="Style11"/>
        <w:keepNext w:val="0"/>
        <w:keepLines w:val="0"/>
        <w:widowControl w:val="0"/>
        <w:numPr>
          <w:ilvl w:val="0"/>
          <w:numId w:val="23"/>
        </w:numPr>
        <w:shd w:val="clear" w:color="auto" w:fill="auto"/>
        <w:tabs>
          <w:tab w:pos="9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Акционерного общества «Краевая дорожно-эксплуатационная организация» частично обоснованной.</w:t>
      </w:r>
    </w:p>
    <w:p>
      <w:pPr>
        <w:pStyle w:val="Style11"/>
        <w:keepNext w:val="0"/>
        <w:keepLines w:val="0"/>
        <w:widowControl w:val="0"/>
        <w:numPr>
          <w:ilvl w:val="0"/>
          <w:numId w:val="23"/>
        </w:numPr>
        <w:shd w:val="clear" w:color="auto" w:fill="auto"/>
        <w:tabs>
          <w:tab w:pos="9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конкурсную комиссию нарушившей требования пункта 1 части 11 статьи 48 Закона о контрактной системе.</w:t>
      </w:r>
    </w:p>
    <w:p>
      <w:pPr>
        <w:pStyle w:val="Style11"/>
        <w:keepNext w:val="0"/>
        <w:keepLines w:val="0"/>
        <w:widowControl w:val="0"/>
        <w:numPr>
          <w:ilvl w:val="0"/>
          <w:numId w:val="23"/>
        </w:numPr>
        <w:shd w:val="clear" w:color="auto" w:fill="auto"/>
        <w:tabs>
          <w:tab w:pos="9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целях устранения нарушения законодательства о контрактной системе и восстановления нарушенных прав участников закупки выдать обязательное для исполнения предписание, в этой связи:</w:t>
      </w:r>
    </w:p>
    <w:p>
      <w:pPr>
        <w:pStyle w:val="Style11"/>
        <w:keepNext w:val="0"/>
        <w:keepLines w:val="0"/>
        <w:widowControl w:val="0"/>
        <w:numPr>
          <w:ilvl w:val="0"/>
          <w:numId w:val="25"/>
        </w:numPr>
        <w:shd w:val="clear" w:color="auto" w:fill="auto"/>
        <w:tabs>
          <w:tab w:pos="9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конкурсной комиссии, уполномоченному органу, оператору электронной площадки отменить протокол подведения итогов конкурса;</w:t>
      </w:r>
    </w:p>
    <w:p>
      <w:pPr>
        <w:pStyle w:val="Style11"/>
        <w:keepNext w:val="0"/>
        <w:keepLines w:val="0"/>
        <w:widowControl w:val="0"/>
        <w:numPr>
          <w:ilvl w:val="0"/>
          <w:numId w:val="25"/>
        </w:numPr>
        <w:shd w:val="clear" w:color="auto" w:fill="auto"/>
        <w:tabs>
          <w:tab w:pos="9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конкурсной комиссии осуществить повторное рассмотрение всех заявок, поданных на участие в конкурсе.</w:t>
      </w:r>
    </w:p>
    <w:p>
      <w:pPr>
        <w:pStyle w:val="Style11"/>
        <w:keepNext w:val="0"/>
        <w:keepLines w:val="0"/>
        <w:widowControl w:val="0"/>
        <w:numPr>
          <w:ilvl w:val="0"/>
          <w:numId w:val="23"/>
        </w:numPr>
        <w:shd w:val="clear" w:color="auto" w:fill="auto"/>
        <w:tabs>
          <w:tab w:pos="9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 об административных правонарушениях в отношении членов конкурсной комиссии.</w:t>
      </w:r>
    </w:p>
    <w:p>
      <w:pPr>
        <w:pStyle w:val="Style11"/>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1"/>
        <w:keepNext w:val="0"/>
        <w:keepLines w:val="0"/>
        <w:widowControl w:val="0"/>
        <w:shd w:val="clear" w:color="auto" w:fill="auto"/>
        <w:tabs>
          <w:tab w:pos="8650"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1"/>
        <w:keepNext w:val="0"/>
        <w:keepLines w:val="0"/>
        <w:widowControl w:val="0"/>
        <w:shd w:val="clear" w:color="auto" w:fill="auto"/>
        <w:bidi w:val="0"/>
        <w:spacing w:before="0" w:after="520" w:line="240" w:lineRule="auto"/>
        <w:ind w:left="0" w:right="0" w:firstLine="0"/>
        <w:jc w:val="both"/>
      </w:pPr>
      <w:r>
        <mc:AlternateContent>
          <mc:Choice Requires="wps">
            <w:drawing>
              <wp:anchor distT="0" distB="0" distL="114300" distR="114300" simplePos="0" relativeHeight="125829389" behindDoc="0" locked="0" layoutInCell="1" allowOverlap="1">
                <wp:simplePos x="0" y="0"/>
                <wp:positionH relativeFrom="page">
                  <wp:posOffset>6316980</wp:posOffset>
                </wp:positionH>
                <wp:positionV relativeFrom="paragraph">
                  <wp:posOffset>12700</wp:posOffset>
                </wp:positionV>
                <wp:extent cx="859790" cy="216535"/>
                <wp:wrapSquare wrapText="left"/>
                <wp:docPr id="17" name="Shape 17"/>
                <a:graphic xmlns:a="http://schemas.openxmlformats.org/drawingml/2006/main">
                  <a:graphicData uri="http://schemas.microsoft.com/office/word/2010/wordprocessingShape">
                    <wps:wsp>
                      <wps:cNvSpPr txBox="1"/>
                      <wps:spPr>
                        <a:xfrm>
                          <a:ext cx="85979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Грицай</w:t>
                            </w:r>
                          </w:p>
                        </w:txbxContent>
                      </wps:txbx>
                      <wps:bodyPr wrap="none" lIns="0" tIns="0" rIns="0" bIns="0">
                        <a:noAutoFit/>
                      </wps:bodyPr>
                    </wps:wsp>
                  </a:graphicData>
                </a:graphic>
              </wp:anchor>
            </w:drawing>
          </mc:Choice>
          <mc:Fallback>
            <w:pict>
              <v:shape id="_x0000_s1043" type="#_x0000_t202" style="position:absolute;margin-left:497.40000000000003pt;margin-top:1.pt;width:67.700000000000003pt;height:17.050000000000001pt;z-index:-125829364;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Грицай</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Члены Комиссии</w:t>
      </w:r>
    </w:p>
    <w:p>
      <w:pPr>
        <w:pStyle w:val="Style11"/>
        <w:keepNext w:val="0"/>
        <w:keepLines w:val="0"/>
        <w:widowControl w:val="0"/>
        <w:shd w:val="clear" w:color="auto" w:fill="auto"/>
        <w:bidi w:val="0"/>
        <w:spacing w:before="0" w:after="520" w:line="240" w:lineRule="auto"/>
        <w:ind w:left="0" w:right="0" w:firstLine="0"/>
        <w:jc w:val="right"/>
      </w:pPr>
      <w:r>
        <w:rPr>
          <w:color w:val="000000"/>
          <w:spacing w:val="0"/>
          <w:w w:val="100"/>
          <w:position w:val="0"/>
          <w:sz w:val="24"/>
          <w:szCs w:val="24"/>
          <w:shd w:val="clear" w:color="auto" w:fill="auto"/>
          <w:lang w:val="ru-RU" w:eastAsia="ru-RU" w:bidi="ru-RU"/>
        </w:rPr>
        <w:t>Е.А. Шмыгина</w:t>
      </w:r>
    </w:p>
    <w:sectPr>
      <w:footnotePr>
        <w:pos w:val="pageBottom"/>
        <w:numFmt w:val="decimal"/>
        <w:numRestart w:val="continuous"/>
      </w:footnotePr>
      <w:type w:val="continuous"/>
      <w:pgSz w:w="11900" w:h="16840"/>
      <w:pgMar w:top="887" w:right="536" w:bottom="116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10019665</wp:posOffset>
              </wp:positionV>
              <wp:extent cx="6470650" cy="100330"/>
              <wp:wrapNone/>
              <wp:docPr id="1" name="Shape 1"/>
              <a:graphic xmlns:a="http://schemas.openxmlformats.org/drawingml/2006/main">
                <a:graphicData uri="http://schemas.microsoft.com/office/word/2010/wordprocessingShape">
                  <wps:wsp>
                    <wps:cNvSpPr txBox="1"/>
                    <wps:spPr>
                      <a:xfrm>
                        <a:ext cx="6470650" cy="100330"/>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2024-17763</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8.95000000000005pt;width:509.5pt;height:7.9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2024-17763</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2024-17763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2024-17763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3"/>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620" w:line="257"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ind w:firstLine="29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Заголовок №1"/>
    <w:basedOn w:val="Normal"/>
    <w:link w:val="CharStyle19"/>
    <w:pPr>
      <w:widowControl w:val="0"/>
      <w:shd w:val="clear" w:color="auto" w:fill="auto"/>
      <w:spacing w:after="220"/>
      <w:outlineLvl w:val="0"/>
    </w:pPr>
    <w:rPr>
      <w:rFonts w:ascii="Arial" w:eastAsia="Arial" w:hAnsi="Arial" w:cs="Arial"/>
      <w:b w:val="0"/>
      <w:bCs w:val="0"/>
      <w:i w:val="0"/>
      <w:iCs w:val="0"/>
      <w:smallCaps w:val="0"/>
      <w:strike w:val="0"/>
      <w:sz w:val="38"/>
      <w:szCs w:val="38"/>
      <w:u w:val="none"/>
    </w:rPr>
  </w:style>
  <w:style w:type="paragraph" w:customStyle="1" w:styleId="Style20">
    <w:name w:val="Подпись к таблице"/>
    <w:basedOn w:val="Normal"/>
    <w:link w:val="CharStyle21"/>
    <w:pPr>
      <w:widowControl w:val="0"/>
      <w:shd w:val="clear" w:color="auto" w:fill="auto"/>
      <w:ind w:firstLine="580"/>
    </w:pPr>
    <w:rPr>
      <w:rFonts w:ascii="Times New Roman" w:eastAsia="Times New Roman" w:hAnsi="Times New Roman" w:cs="Times New Roman"/>
      <w:b w:val="0"/>
      <w:bCs w:val="0"/>
      <w:i w:val="0"/>
      <w:iCs w:val="0"/>
      <w:smallCaps w:val="0"/>
      <w:strike w:val="0"/>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