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762" w:bottom="1226" w:left="1130" w:header="0" w:footer="3" w:gutter="0"/>
          <w:pgNumType w:start="1"/>
          <w:cols w:num="2" w:space="542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Хабаровскому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680000, г. Хабаровск, ул. Запарина, 67</w:t>
        <w:br/>
        <w:t xml:space="preserve">тел. </w:t>
      </w:r>
      <w:r>
        <w:rPr>
          <w:b w:val="0"/>
          <w:bCs w:val="0"/>
          <w:color w:val="737A8A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/ </w:t>
      </w: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факс (4212) 32-40-57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е-таП: 1о27@Га8.§оу.ги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320" w:line="240" w:lineRule="auto"/>
        <w:ind w:left="0" w:right="0" w:firstLine="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2,10,2024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ЛИ/11765/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направлении решения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Хабаровский филиал федерального государственного бюджетного учреждения «Национальный медицинский исследовательский центр оториноларингологии Федерального медико-биологического агентства»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Краснодарская, д. 9, г. Хабаровск, 680000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хакиркю1ю1аг@уап4ех.ги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«Йотта-Фарм»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Алеутская, д. 11, оф. 1027, г. Владивосток, 690090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762" w:bottom="1226" w:left="1130" w:header="0" w:footer="3" w:gutter="0"/>
          <w:cols w:num="2" w:space="542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хакиркю1ю1аг@уап4ех.ги</w:t>
      </w: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98" w:right="0" w:bottom="12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7-1/240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tabs>
          <w:tab w:pos="8645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17.10.2024</w:t>
        <w:tab/>
        <w:t>г. Хабаровск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Хабаровскому краю по контролю закупок в составе: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92100" distB="204470" distL="0" distR="0" simplePos="0" relativeHeight="125829378" behindDoc="0" locked="0" layoutInCell="1" allowOverlap="1">
                <wp:simplePos x="0" y="0"/>
                <wp:positionH relativeFrom="page">
                  <wp:posOffset>699135</wp:posOffset>
                </wp:positionH>
                <wp:positionV relativeFrom="paragraph">
                  <wp:posOffset>292100</wp:posOffset>
                </wp:positionV>
                <wp:extent cx="1371600" cy="86550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865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Комиссии: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050000000000004pt;margin-top:23.pt;width:108.pt;height:68.150000000000006pt;z-index:-125829375;mso-wrap-distance-left:0;mso-wrap-distance-top:23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Комиссии: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817245" distL="0" distR="0" simplePos="0" relativeHeight="125829380" behindDoc="0" locked="0" layoutInCell="1" allowOverlap="1">
                <wp:simplePos x="0" y="0"/>
                <wp:positionH relativeFrom="page">
                  <wp:posOffset>2717165</wp:posOffset>
                </wp:positionH>
                <wp:positionV relativeFrom="paragraph">
                  <wp:posOffset>292100</wp:posOffset>
                </wp:positionV>
                <wp:extent cx="1222375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237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- Ильченко Л.А.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13.95000000000002pt;margin-top:23.pt;width:96.25pt;height:19.900000000000002pt;z-index:-125829373;mso-wrap-distance-left:0;mso-wrap-distance-top:23.pt;mso-wrap-distance-right:0;mso-wrap-distance-bottom:64.34999999999999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- Ильченко Л.А.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8050" distB="203835" distL="0" distR="0" simplePos="0" relativeHeight="125829382" behindDoc="0" locked="0" layoutInCell="1" allowOverlap="1">
                <wp:simplePos x="0" y="0"/>
                <wp:positionH relativeFrom="page">
                  <wp:posOffset>2759710</wp:posOffset>
                </wp:positionH>
                <wp:positionV relativeFrom="paragraph">
                  <wp:posOffset>908050</wp:posOffset>
                </wp:positionV>
                <wp:extent cx="1237615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- Андреева Н.А.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17.30000000000001pt;margin-top:71.5pt;width:97.450000000000003pt;height:19.699999999999999pt;z-index:-125829371;mso-wrap-distance-left:0;mso-wrap-distance-top:71.5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- Андреева Н.А.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0" distL="0" distR="0" simplePos="0" relativeHeight="125829384" behindDoc="0" locked="0" layoutInCell="1" allowOverlap="1">
                <wp:simplePos x="0" y="0"/>
                <wp:positionH relativeFrom="page">
                  <wp:posOffset>4618990</wp:posOffset>
                </wp:positionH>
                <wp:positionV relativeFrom="paragraph">
                  <wp:posOffset>292100</wp:posOffset>
                </wp:positionV>
                <wp:extent cx="2304415" cy="106997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04415" cy="1069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63" w:val="left"/>
                              </w:tabs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заместитель руководителя управления;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6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главный специалист-эксперт отдела контроля закупок;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63.69999999999999pt;margin-top:23.pt;width:181.45000000000002pt;height:84.25pt;z-index:-125829369;mso-wrap-distance-left:0;mso-wrap-distance-top:23.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63" w:val="left"/>
                        </w:tabs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заместитель руководителя управления;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6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главный специалист-эксперт отдела контроля закупок;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46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Пилипенко М.А. - главный специалист-эксперт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102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отдела контроля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1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Хабаровский филиал федерального государственного бюджетного учреждения «Национальный медицинский исследовательский центр оториноларингологии Федерального медико-биологического агентства»: Одинец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1111111IIIIIIIIII1111III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Д.В. по доверенности от 15.10.2024 №4;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ООО «Йотта-Фарм»: представители не явились, о дате, месте, времени рассмотрения жалобы уведомлены надлежащим образом;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«Йотта-Фарм» и материалы дела 027/06/105- 1528/2024,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Хабаровскому краю (далее - Хабаровское УФАС России) поступила жалоба ООО «Йотта-Фарм» (далее также - Заявитель) на действия заказчика - Хабаровский филиал федерального государственного бюджетного учреждения «Национальный медицинский исследовательский центр оториноларингологии Федерального медико</w:t>
        <w:softHyphen/>
        <w:t>биологического агентства» при осуществлении закупки путем проведения электронного запроса котировок на поставку лекарственного препарата для медицинского применения СЕВОФЛУРАН (извещение № 0322100028024000076).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 его заявка неправомерно признана несоответствующей требованиям извещения о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Хабаровским УФАС России принято решение о проведении внеплановой проверки, по результатам которой установлено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0322100028024000076 об осуществлении закупки размещено на официальном сайте единой информационной системы в сфере закупок 30.09.2024.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исполнителя): электронный запрос котировок.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закупки: поставка лекарственного препарата для медицинского применения СЕВОФЛУРАН.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составляет: 275 600,00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- 07.10.2024 07:00 (МСК+7).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протоколом подведения итогов определения поставщика (подрядчика, исполнителя) от 08.10.2024 №ИЗК1 на участие в закупке подана единственная заявка под идентификационным номером №1109698 (ООО «Йотта- Фарм»), которая отклонена закупочной комиссией по следующему основанию: «Отклонить заявку на участие в закупке по п.1 ч.12 ст.48 Закона о контрактной системе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2, 3 ч. 6 ст. 43 Закона о контрактной системе), несоответствие таких информации и документов требованиям» Участником закупки предложен к поставке товар: «Севактон /Севофлуран/ - жидкость для ингаляций, 250 мл, (флакон) №1 в комплекте с укупорочной системой типа ^шк-Г^1» с приложением рег.уд. ЛП- №(000811)-(РГ-Ки), в котором указано: «Севактон /Севофлуран/, жидкость для ингаляций (флакон), 250мл х 1 + адаптер х 1», что не соответствует требованиям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Заказчика: «/Севофлуран/, жидкость для ингаляций, флакон, закрытый специальной укупорочной системой ^шк-Е^1».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адрес Хабаровского УФАС России представлен мотивированный отзыв, согласно которому считает жалобу необоснованной в полном объеме.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материалы дела 027/06/105-1528/2024, с учетом конкретных обстоятельств дела, Комиссия Хабаровского УФАС России приходит к выводу о признании жалобы необоснованной по следующим основаниям.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1 ст. 1 Закона о контрактной системе настоящий Федеральный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 (ст. 6 Закона о контрактной системе).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Приложением к извещению о закупке «III. Техническая часть. Описание объекта закупки (Спецификация)» (далее - Техническая часть) установлены следующие функциональные, технические и качественные характеристики товара, показатели, позволяющие определить соответствие закупаемых товаров установленным требованиям, требования к остаточному сроку годности товара:</w:t>
      </w:r>
    </w:p>
    <w:tbl>
      <w:tblPr>
        <w:tblOverlap w:val="never"/>
        <w:jc w:val="center"/>
        <w:tblLayout w:type="fixed"/>
      </w:tblPr>
      <w:tblGrid>
        <w:gridCol w:w="1099"/>
        <w:gridCol w:w="1373"/>
        <w:gridCol w:w="1781"/>
        <w:gridCol w:w="1661"/>
        <w:gridCol w:w="1819"/>
        <w:gridCol w:w="1200"/>
        <w:gridCol w:w="1416"/>
      </w:tblGrid>
      <w:tr>
        <w:trPr>
          <w:trHeight w:val="16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Код и наименов ание по ОКПД2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Описание объекта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Сведения в соответстви и с ГРЛС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Остаточный срок годности, дополнительн ые характеристи 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Ед. изм.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Кол-во</w:t>
            </w:r>
          </w:p>
        </w:tc>
      </w:tr>
      <w:tr>
        <w:trPr>
          <w:trHeight w:val="408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21.20.10.23 1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Анестетик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9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СЕВОФЛУРА Н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ЖИДКОСТЬ ДЛЯ ИНГАЛЯЦИЙ, ~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Уникальный код позиции КТРУ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21.20.10.231</w:t>
              <w:softHyphen/>
              <w:t>000013-1</w:t>
              <w:softHyphen/>
              <w:t>00062</w:t>
              <w:softHyphen/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0000000000000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 xml:space="preserve">СЕВОФЛУРА Н,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 xml:space="preserve">Лекарственн ая форма: 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ЖИДКОСТЬ ДЛЯ ИНГАЛЯЦИ Й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 xml:space="preserve">Дозировка лекарственн ого препарата: 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НЕ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УКАЗАНО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9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Остаточный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09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срок годности неменее</w:t>
              <w:tab/>
              <w:t>18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09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месяцев</w:t>
              <w:tab/>
              <w:t>на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9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момент поставки Флакон закрытый специальной укупорочной системой типа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9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Ршк-Гй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СМ3;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Л (мл)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9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10 000.0000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Обоснование необходимости указания характеристик в соответствии с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6 Особенностей описания лекарственных препаратов для медицинского применения, являющихся объектом закупки для обеспечения государственных и муниципальных нужд, утвержденных постановлением Правительства Российской Федерации от 15.11.2017 № 1380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1 (СЕВОФЛУРАН): В операционном блоке Заказчика установлены наркозно-дыхательные аппараты ГЖАСЛЖ с испарителями для ингаляционного анестетика Севофлуран с типом заливки ^шк-Г^1, представляющие собой закрытую систему.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Хабаровского УФАС России установлено, что ООО «Йотта-Фарм» предложило к поставке лекарственный препарат «Севактон» МНН «Севофлуран» жидкость для ингаляций, 250 мл №1, в комплекте с укупорочной системой типа &lt;^шк-Гй», регистрационное удостоверение ЛП-№(0008П)-(РГ-К.и).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пояснил, что Заказчик использует наркозно</w:t>
        <w:softHyphen/>
        <w:t>дыхательные аппараты, укомплектованные испарителями Огауег с типом заливочного устройства и сливного устройства &lt;^шк-Гй».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к оснащению флаконов специальной укупорочной системой &lt;^шск-й1» обусловлено необходимостью обеспечения взаимодействия закупаемого товара с используемыми Заказчиком испарителями наркозно-дыхательных аппаратов с заправочной системой &lt;^шск-й1» и сливным устройством &lt;^шск-й1» (согласно руководству по эксплуатации испарителей).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Специальная укупорочная система представляет собой клапан с пружинным возвратом, который при заправке испарителя анестетиком образует единую систему с клапаном системы заполнения испарителя, а при сливе анестетика из испарителя образует единую систему со сливным устройством. Два клапана на флаконе и испарителе по своей конструкции образуют практически полностью закрытую систему. Использование заказчиком флаконов лекарственного препарата, оснащенных укупорочной системой с клапаном и пружинным возвратом, обусловлено наличием специального устройства системы, которая защищает медицинский персонал, не допуская контакта сотрудников, находящихся в операционной, с жидкостью севофлуран, исключает переливание жидкости из флакона.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вышеуказанной информации следует, что флакон с лекарственным препаратом МНН Севофлуран должен быть оснащен системой &lt;^шк-Ей» и подходить для заправочной системы и сливного устройства испарителей Огауег, имеющихся у Заказчика, и полностью с ними совместим.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заявке участника отсутствует указание на совместимость с заправочной системой и сливным устройством испарителей Огауег, что не соответствует описанию объекта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п.п. &lt;а» п. 1 ч. 3 ст. 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анализе предлагаемого к поставке ООО «Йотта-Фарм» не представляется возможным установить совместимость с заправочной системой и сливного устройства испарителей Огадег. тогда как исходя из пояснений заказчика совместимость с заправочной системой и сливного устройства испарителей Огадег является значимой характеристикой.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информации из государственного реестра лекарственных средств, на территории Российской Федерации зарегистрировано 8 лекарственных препаратов с МНН «Севофлуран». ООО «Йотта-Фарм» предложило к поставке лекарственный препарат «Севактон». Изучив инструкцию к лекарственному препарату «Севактон», Комиссия Хабаровского УФАС России установила, что в инструкции указано: флаконы с препаратом вместе с листком-вкладышем и адаптером (с системой «С)ш1&lt;- ГШ») для быстрого заполнения ингаляторов или без него.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учитывая важность совместимости с заправочной системой и сливного устройства испарителей Огадег. инструкция и описание предлагаемого ООО «Йотта-Фарм» товара к поставке не может указывать на полное соответствие характеристикам Заказчика, указанным в Технической части.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Принимая во внимание вышеизложенное, с учетом конкретных обстоятельств, установленных в рамках рассмотрения настоящего дела, Комиссия Хабаровского УФАС России приходит к выводу о признании жалобы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жалоба ООО «Йотта-Фарм» на действия заказчика - Хабаровский филиал федерального государственного бюджетного учреждения «Национальный медицинский исследовательский центр оториноларингологии Федерального медико-биологического агентства» при осуществлении закупки путем проведения электронного запроса котировок на поставку лекарственного препарата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для медицинского применения СЕВОФЛУРАН (извещение № 0322100028024000076)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98" w:right="498" w:bottom="1218" w:left="104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2880" w:h="398" w:wrap="none" w:vAnchor="text" w:hAnchor="page" w:x="115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8"/>
        <w:keepNext w:val="0"/>
        <w:keepLines w:val="0"/>
        <w:framePr w:w="2011" w:h="158" w:wrap="none" w:vAnchor="text" w:hAnchor="page" w:x="4908" w:y="75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8"/>
        <w:keepNext w:val="0"/>
        <w:keepLines w:val="0"/>
        <w:framePr w:w="2717" w:h="403" w:wrap="none" w:vAnchor="text" w:hAnchor="page" w:x="4836" w:y="26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4" behindDoc="1" locked="0" layoutInCell="1" allowOverlap="1">
            <wp:simplePos x="0" y="0"/>
            <wp:positionH relativeFrom="page">
              <wp:posOffset>2619375</wp:posOffset>
            </wp:positionH>
            <wp:positionV relativeFrom="paragraph">
              <wp:posOffset>36830</wp:posOffset>
            </wp:positionV>
            <wp:extent cx="389890" cy="57277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50" w:bottom="971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6057265</wp:posOffset>
                </wp:positionH>
                <wp:positionV relativeFrom="paragraph">
                  <wp:posOffset>189230</wp:posOffset>
                </wp:positionV>
                <wp:extent cx="1124585" cy="250190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Л.А. Ильченко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6.94999999999999pt;margin-top:14.9pt;width:88.549999999999997pt;height:19.699999999999999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Л.А. Ильченко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25400" distB="0" distL="114300" distR="1903730" simplePos="0" relativeHeight="125829388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807720</wp:posOffset>
            </wp:positionV>
            <wp:extent cx="353695" cy="39624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899160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1.80000000000001pt;margin-top:70.799999999999997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Ильченко Лариса Александровна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53Э9ЭА0421ЕЕ18С746В01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Е823Е3291СЗ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05.09.2024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29.11.2025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2355" w:bottom="1255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9" behindDoc="0" locked="0" layoutInCell="1" allowOverlap="1">
                <wp:simplePos x="0" y="0"/>
                <wp:positionH relativeFrom="page">
                  <wp:posOffset>6042025</wp:posOffset>
                </wp:positionH>
                <wp:positionV relativeFrom="paragraph">
                  <wp:posOffset>341630</wp:posOffset>
                </wp:positionV>
                <wp:extent cx="1146175" cy="250190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Андреева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5.75pt;margin-top:26.900000000000002pt;width:90.25pt;height:19.699999999999999pt;z-index:-12582936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Андреева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Андреева Наталья Анатольевна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О0896938ЕЕ7Е033Е4Е7О154693В21849СС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2379" w:bottom="1255" w:left="1106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25.12.2023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19.03.2025</w:t>
      </w: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035" w:h="566" w:wrap="none" w:vAnchor="text" w:hAnchor="page" w:x="1102" w:y="76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Исп.Пилипенко М.А. тел.7 (4212) 31-11-91</w:t>
      </w:r>
    </w:p>
    <w:p>
      <w:pPr>
        <w:pStyle w:val="Style28"/>
        <w:keepNext w:val="0"/>
        <w:keepLines w:val="0"/>
        <w:framePr w:w="2011" w:h="158" w:wrap="none" w:vAnchor="text" w:hAnchor="page" w:x="4908" w:y="712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8"/>
        <w:keepNext w:val="0"/>
        <w:keepLines w:val="0"/>
        <w:framePr w:w="2717" w:h="403" w:wrap="none" w:vAnchor="text" w:hAnchor="page" w:x="4836" w:y="21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1"/>
        <w:keepNext w:val="0"/>
        <w:keepLines w:val="0"/>
        <w:framePr w:w="3250" w:h="466" w:wrap="none" w:vAnchor="text" w:hAnchor="page" w:x="4203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Пилипенко Мария Алексеевна</w:t>
      </w:r>
    </w:p>
    <w:p>
      <w:pPr>
        <w:pStyle w:val="Style31"/>
        <w:keepNext w:val="0"/>
        <w:keepLines w:val="0"/>
        <w:framePr w:w="3250" w:h="466" w:wrap="none" w:vAnchor="text" w:hAnchor="page" w:x="4203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4АЗЕ655ЕСА49Е804048Е50ВР33298660</w:t>
      </w:r>
    </w:p>
    <w:p>
      <w:pPr>
        <w:pStyle w:val="Style31"/>
        <w:keepNext w:val="0"/>
        <w:keepLines w:val="0"/>
        <w:framePr w:w="3250" w:h="466" w:wrap="none" w:vAnchor="text" w:hAnchor="page" w:x="4203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20.11.2023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12.02.2025</w:t>
      </w:r>
    </w:p>
    <w:p>
      <w:pPr>
        <w:pStyle w:val="Style9"/>
        <w:keepNext w:val="0"/>
        <w:keepLines w:val="0"/>
        <w:framePr w:w="2035" w:h="398" w:wrap="none" w:vAnchor="text" w:hAnchor="page" w:x="9276" w:y="12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Пилипенко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5" behindDoc="1" locked="0" layoutInCell="1" allowOverlap="1">
            <wp:simplePos x="0" y="0"/>
            <wp:positionH relativeFrom="page">
              <wp:posOffset>2619375</wp:posOffset>
            </wp:positionH>
            <wp:positionV relativeFrom="paragraph">
              <wp:posOffset>12700</wp:posOffset>
            </wp:positionV>
            <wp:extent cx="389890" cy="57277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97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9986645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2024-12484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5pt;margin-top:786.35000000000002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2024-12484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9984105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2024-12484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86.14999999999998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2024-12484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7"/>
      <w:szCs w:val="17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Основной текст (4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Основной текст (6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23">
    <w:name w:val="Подпись к таблиц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Друго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9">
    <w:name w:val="Подпись к картинке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32">
    <w:name w:val="Основной текст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character" w:customStyle="1" w:styleId="CharStyle37">
    <w:name w:val="Основной текст (5)_"/>
    <w:basedOn w:val="DefaultParagraphFont"/>
    <w:link w:val="Style3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7"/>
      <w:szCs w:val="17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auto"/>
      <w:spacing w:after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2">
    <w:name w:val="Подпись к таблице"/>
    <w:basedOn w:val="Normal"/>
    <w:link w:val="CharStyle2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Другое"/>
    <w:basedOn w:val="Normal"/>
    <w:link w:val="CharStyle2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8">
    <w:name w:val="Подпись к картинке"/>
    <w:basedOn w:val="Normal"/>
    <w:link w:val="CharStyle2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31">
    <w:name w:val="Основной текст (2)"/>
    <w:basedOn w:val="Normal"/>
    <w:link w:val="CharStyle3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paragraph" w:customStyle="1" w:styleId="Style36">
    <w:name w:val="Основной текст (5)"/>
    <w:basedOn w:val="Normal"/>
    <w:link w:val="CharStyle37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