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mc:AlternateContent>
          <mc:Choice Requires="wps">
            <w:drawing>
              <wp:anchor distT="0" distB="88900" distL="114300" distR="1040765" simplePos="0" relativeHeight="125829378" behindDoc="0" locked="0" layoutInCell="1" allowOverlap="1">
                <wp:simplePos x="0" y="0"/>
                <wp:positionH relativeFrom="page">
                  <wp:posOffset>665480</wp:posOffset>
                </wp:positionH>
                <wp:positionV relativeFrom="paragraph">
                  <wp:posOffset>12700</wp:posOffset>
                </wp:positionV>
                <wp:extent cx="2575560" cy="1243330"/>
                <wp:wrapTopAndBottom/>
                <wp:docPr id="1" name="Shape 1"/>
                <a:graphic xmlns:a="http://schemas.openxmlformats.org/drawingml/2006/main">
                  <a:graphicData uri="http://schemas.microsoft.com/office/word/2010/wordprocessingShape">
                    <wps:wsp>
                      <wps:cNvSpPr txBox="1"/>
                      <wps:spPr>
                        <a:xfrm>
                          <a:ext cx="2575560" cy="1243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2.399999999999999pt;margin-top:1.pt;width:202.80000000000001pt;height:97.900000000000006pt;z-index:-125829375;mso-wrap-distance-left:9.pt;mso-wrap-distance-right:81.950000000000003pt;mso-wrap-distance-bottom:7.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ФЕДЕРАЛЬНАЯ</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АНТИМОНОПОЛЬНАЯ СЛУЖБА</w:t>
                      </w:r>
                    </w:p>
                    <w:p>
                      <w:pPr>
                        <w:pStyle w:val="Style2"/>
                        <w:keepNext w:val="0"/>
                        <w:keepLines w:val="0"/>
                        <w:widowControl w:val="0"/>
                        <w:shd w:val="clear" w:color="auto" w:fill="auto"/>
                        <w:bidi w:val="0"/>
                        <w:spacing w:before="0" w:after="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УПРАВЛЕНИЕ</w:t>
                        <w:br/>
                        <w:t>Федеральной антимонопольной</w:t>
                        <w:br/>
                        <w:t>службы</w:t>
                        <w:br/>
                        <w:t>по Республике Татарстан</w:t>
                      </w:r>
                    </w:p>
                  </w:txbxContent>
                </v:textbox>
                <w10:wrap type="topAndBottom" anchorx="page"/>
              </v:shape>
            </w:pict>
          </mc:Fallback>
        </mc:AlternateContent>
      </w:r>
      <w:r>
        <w:drawing>
          <wp:anchor distT="130810" distB="546100" distL="3043555" distR="114300" simplePos="0" relativeHeight="125829380" behindDoc="0" locked="0" layoutInCell="1" allowOverlap="1">
            <wp:simplePos x="0" y="0"/>
            <wp:positionH relativeFrom="page">
              <wp:posOffset>3594735</wp:posOffset>
            </wp:positionH>
            <wp:positionV relativeFrom="paragraph">
              <wp:posOffset>143510</wp:posOffset>
            </wp:positionV>
            <wp:extent cx="572770" cy="658495"/>
            <wp:wrapTopAndBottom/>
            <wp:docPr id="3" name="Shape 3"/>
            <a:graphic xmlns:a="http://schemas.openxmlformats.org/drawingml/2006/main">
              <a:graphicData uri="http://schemas.openxmlformats.org/drawingml/2006/picture">
                <pic:pic xmlns:pic="http://schemas.openxmlformats.org/drawingml/2006/picture">
                  <pic:nvPicPr>
                    <pic:cNvPr id="4" name="Picture box 4"/>
                    <pic:cNvPicPr/>
                  </pic:nvPicPr>
                  <pic:blipFill>
                    <a:blip r:embed="rId5"/>
                    <a:stretch/>
                  </pic:blipFill>
                  <pic:spPr>
                    <a:xfrm>
                      <a:ext cx="572770" cy="658495"/>
                    </a:xfrm>
                    <a:prstGeom prst="rect"/>
                  </pic:spPr>
                </pic:pic>
              </a:graphicData>
            </a:graphic>
          </wp:anchor>
        </w:drawing>
      </w:r>
    </w:p>
    <w:p>
      <w:pPr>
        <w:pStyle w:val="Style5"/>
        <w:keepNext w:val="0"/>
        <w:keepLines w:val="0"/>
        <w:widowControl w:val="0"/>
        <w:shd w:val="clear" w:color="auto" w:fill="auto"/>
        <w:bidi w:val="0"/>
        <w:spacing w:before="0" w:after="0" w:line="283" w:lineRule="auto"/>
        <w:ind w:left="0" w:right="0" w:firstLine="0"/>
        <w:jc w:val="center"/>
      </w:pPr>
      <w:r>
        <w:rPr>
          <w:spacing w:val="0"/>
          <w:w w:val="100"/>
          <w:position w:val="0"/>
          <w:shd w:val="clear" w:color="auto" w:fill="auto"/>
          <w:lang w:val="ru-RU" w:eastAsia="ru-RU" w:bidi="ru-RU"/>
        </w:rPr>
        <w:t xml:space="preserve">ул. Московская, д. </w:t>
      </w:r>
      <w:r>
        <w:rPr>
          <w:color w:val="334766"/>
          <w:spacing w:val="0"/>
          <w:w w:val="100"/>
          <w:position w:val="0"/>
          <w:shd w:val="clear" w:color="auto" w:fill="auto"/>
          <w:lang w:val="ru-RU" w:eastAsia="ru-RU" w:bidi="ru-RU"/>
        </w:rPr>
        <w:t xml:space="preserve">55. г. </w:t>
      </w:r>
      <w:r>
        <w:rPr>
          <w:spacing w:val="0"/>
          <w:w w:val="100"/>
          <w:position w:val="0"/>
          <w:shd w:val="clear" w:color="auto" w:fill="auto"/>
          <w:lang w:val="ru-RU" w:eastAsia="ru-RU" w:bidi="ru-RU"/>
        </w:rPr>
        <w:t>Казань, 420021</w:t>
        <w:br/>
        <w:t>тел.: (843) 236-89-22, факс (843) 238-19-46</w:t>
        <w:br/>
        <w:t>е-таП: 1о16@Га8.§оу.га</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МОНОПОЛИЯМ КАРШЫ</w:t>
        <w:br/>
        <w:t>ФЕДЕРАЛЬ ХЕЗМЭТ</w:t>
      </w:r>
    </w:p>
    <w:p>
      <w:pPr>
        <w:pStyle w:val="Style2"/>
        <w:keepNext w:val="0"/>
        <w:keepLines w:val="0"/>
        <w:widowControl w:val="0"/>
        <w:shd w:val="clear" w:color="auto" w:fill="auto"/>
        <w:bidi w:val="0"/>
        <w:spacing w:before="0" w:after="260" w:line="240" w:lineRule="auto"/>
        <w:ind w:left="0" w:right="0" w:firstLine="0"/>
        <w:jc w:val="center"/>
        <w:rPr>
          <w:sz w:val="24"/>
          <w:szCs w:val="24"/>
        </w:rPr>
      </w:pPr>
      <w:r>
        <w:rPr>
          <w:b/>
          <w:bCs/>
          <w:color w:val="658FC8"/>
          <w:spacing w:val="0"/>
          <w:w w:val="100"/>
          <w:position w:val="0"/>
          <w:sz w:val="24"/>
          <w:szCs w:val="24"/>
          <w:shd w:val="clear" w:color="auto" w:fill="auto"/>
          <w:lang w:val="ru-RU" w:eastAsia="ru-RU" w:bidi="ru-RU"/>
        </w:rPr>
        <w:t>Монополиягэ каршы</w:t>
        <w:br/>
        <w:t>Федераль хезмэтнец</w:t>
        <w:br/>
        <w:t>Татарстан Республикасы</w:t>
        <w:br/>
      </w:r>
      <w:r>
        <w:rPr>
          <w:b/>
          <w:bCs/>
          <w:color w:val="476494"/>
          <w:spacing w:val="0"/>
          <w:w w:val="100"/>
          <w:position w:val="0"/>
          <w:sz w:val="24"/>
          <w:szCs w:val="24"/>
          <w:shd w:val="clear" w:color="auto" w:fill="auto"/>
          <w:lang w:val="ru-RU" w:eastAsia="ru-RU" w:bidi="ru-RU"/>
        </w:rPr>
        <w:t xml:space="preserve">буенча </w:t>
      </w:r>
      <w:r>
        <w:rPr>
          <w:b/>
          <w:bCs/>
          <w:color w:val="658FC8"/>
          <w:spacing w:val="0"/>
          <w:w w:val="100"/>
          <w:position w:val="0"/>
          <w:sz w:val="24"/>
          <w:szCs w:val="24"/>
          <w:shd w:val="clear" w:color="auto" w:fill="auto"/>
          <w:lang w:val="ru-RU" w:eastAsia="ru-RU" w:bidi="ru-RU"/>
        </w:rPr>
        <w:t>идарэсе</w:t>
      </w:r>
    </w:p>
    <w:p>
      <w:pPr>
        <w:pStyle w:val="Style5"/>
        <w:keepNext w:val="0"/>
        <w:keepLines w:val="0"/>
        <w:widowControl w:val="0"/>
        <w:shd w:val="clear" w:color="auto" w:fill="auto"/>
        <w:bidi w:val="0"/>
        <w:spacing w:before="0" w:after="0" w:line="288" w:lineRule="auto"/>
        <w:ind w:left="0" w:right="0" w:firstLine="0"/>
        <w:jc w:val="center"/>
        <w:sectPr>
          <w:footerReference w:type="default" r:id="rId7"/>
          <w:footerReference w:type="first" r:id="rId8"/>
          <w:footnotePr>
            <w:pos w:val="pageBottom"/>
            <w:numFmt w:val="decimal"/>
            <w:numRestart w:val="continuous"/>
          </w:footnotePr>
          <w:pgSz w:w="11900" w:h="16840"/>
          <w:pgMar w:top="1028" w:right="1338" w:bottom="1216" w:left="1610" w:header="0" w:footer="3" w:gutter="0"/>
          <w:pgNumType w:start="1"/>
          <w:cols w:num="2" w:space="2530"/>
          <w:noEndnote/>
          <w:titlePg/>
          <w:rtlGutter w:val="0"/>
          <w:docGrid w:linePitch="360"/>
        </w:sectPr>
      </w:pPr>
      <w:r>
        <w:rPr>
          <w:spacing w:val="0"/>
          <w:w w:val="100"/>
          <w:position w:val="0"/>
          <w:shd w:val="clear" w:color="auto" w:fill="auto"/>
          <w:lang w:val="ru-RU" w:eastAsia="ru-RU" w:bidi="ru-RU"/>
        </w:rPr>
        <w:t>Мэскэу ур., 55 йорт, Казан шэЬэре, 420021</w:t>
        <w:br/>
        <w:t>тел.: (843) 236-89-22, факс (843) 238-19-46</w:t>
        <w:br/>
        <w:t>е-таП: Ю16@Га8.§оу.ги</w:t>
      </w:r>
    </w:p>
    <w:p>
      <w:pPr>
        <w:widowControl w:val="0"/>
        <w:spacing w:line="240" w:lineRule="exact"/>
        <w:rPr>
          <w:sz w:val="19"/>
          <w:szCs w:val="19"/>
        </w:rPr>
      </w:pPr>
    </w:p>
    <w:p>
      <w:pPr>
        <w:widowControl w:val="0"/>
        <w:spacing w:before="57" w:after="57"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28" w:right="0" w:bottom="1216" w:left="0" w:header="0" w:footer="3" w:gutter="0"/>
          <w:cols w:space="720"/>
          <w:noEndnote/>
          <w:rtlGutter w:val="0"/>
          <w:docGrid w:linePitch="360"/>
        </w:sectPr>
      </w:pPr>
    </w:p>
    <w:p>
      <w:pPr>
        <w:pStyle w:val="Style2"/>
        <w:keepNext w:val="0"/>
        <w:keepLines w:val="0"/>
        <w:widowControl w:val="0"/>
        <w:shd w:val="clear" w:color="auto" w:fill="auto"/>
        <w:bidi w:val="0"/>
        <w:spacing w:before="0" w:after="0" w:line="240" w:lineRule="auto"/>
        <w:ind w:left="0" w:right="0" w:firstLine="0"/>
        <w:jc w:val="both"/>
        <w:rPr>
          <w:sz w:val="24"/>
          <w:szCs w:val="24"/>
        </w:rPr>
      </w:pPr>
      <w:r>
        <w:rPr>
          <w:color w:val="658FC8"/>
          <w:spacing w:val="0"/>
          <w:w w:val="100"/>
          <w:position w:val="0"/>
          <w:sz w:val="24"/>
          <w:szCs w:val="24"/>
          <w:shd w:val="clear" w:color="auto" w:fill="auto"/>
          <w:lang w:val="ru-RU" w:eastAsia="ru-RU" w:bidi="ru-RU"/>
        </w:rPr>
        <w:t xml:space="preserve">На </w:t>
      </w:r>
      <w:r>
        <w:rPr>
          <w:color w:val="476494"/>
          <w:spacing w:val="0"/>
          <w:w w:val="100"/>
          <w:position w:val="0"/>
          <w:sz w:val="24"/>
          <w:szCs w:val="24"/>
          <w:shd w:val="clear" w:color="auto" w:fill="auto"/>
          <w:lang w:val="ru-RU" w:eastAsia="ru-RU" w:bidi="ru-RU"/>
        </w:rPr>
        <w:t>№</w:t>
      </w:r>
      <w:r>
        <w:rPr>
          <w:color w:val="658FC8"/>
          <w:spacing w:val="0"/>
          <w:w w:val="100"/>
          <w:position w:val="0"/>
          <w:sz w:val="24"/>
          <w:szCs w:val="24"/>
          <w:shd w:val="clear" w:color="auto" w:fill="auto"/>
          <w:lang w:val="ru-RU" w:eastAsia="ru-RU" w:bidi="ru-RU"/>
        </w:rPr>
        <w:t>от</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Оператор торговой площадки:</w:t>
      </w:r>
    </w:p>
    <w:p>
      <w:pPr>
        <w:pStyle w:val="Style2"/>
        <w:keepNext w:val="0"/>
        <w:keepLines w:val="0"/>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028" w:right="2312" w:bottom="1216" w:left="1096" w:header="0" w:footer="3" w:gutter="0"/>
          <w:cols w:num="2" w:space="720" w:equalWidth="0">
            <w:col w:w="4066" w:space="768"/>
            <w:col w:w="3658"/>
          </w:cols>
          <w:noEndnote/>
          <w:rtlGutter w:val="0"/>
          <w:docGrid w:linePitch="360"/>
        </w:sectPr>
      </w:pPr>
      <w:r>
        <w:rPr>
          <w:color w:val="000000"/>
          <w:spacing w:val="0"/>
          <w:w w:val="100"/>
          <w:position w:val="0"/>
          <w:shd w:val="clear" w:color="auto" w:fill="auto"/>
          <w:lang w:val="ru-RU" w:eastAsia="ru-RU" w:bidi="ru-RU"/>
        </w:rPr>
        <w:t>АГЗ РТ</w:t>
      </w:r>
    </w:p>
    <w:p>
      <w:pPr>
        <w:widowControl w:val="0"/>
        <w:spacing w:line="164" w:lineRule="exact"/>
        <w:rPr>
          <w:sz w:val="13"/>
          <w:szCs w:val="13"/>
        </w:rPr>
      </w:pPr>
    </w:p>
    <w:p>
      <w:pPr>
        <w:widowControl w:val="0"/>
        <w:spacing w:line="1" w:lineRule="exact"/>
        <w:sectPr>
          <w:footnotePr>
            <w:pos w:val="pageBottom"/>
            <w:numFmt w:val="decimal"/>
            <w:numRestart w:val="continuous"/>
          </w:footnotePr>
          <w:type w:val="continuous"/>
          <w:pgSz w:w="11900" w:h="16840"/>
          <w:pgMar w:top="1045" w:right="0" w:bottom="1209" w:left="0" w:header="0" w:footer="3" w:gutter="0"/>
          <w:cols w:space="720"/>
          <w:noEndnote/>
          <w:rtlGutter w:val="0"/>
          <w:docGrid w:linePitch="360"/>
        </w:sectPr>
      </w:pPr>
    </w:p>
    <w:p>
      <w:pPr>
        <w:pStyle w:val="Style2"/>
        <w:keepNext w:val="0"/>
        <w:keepLines w:val="0"/>
        <w:widowControl w:val="0"/>
        <w:shd w:val="clear" w:color="auto" w:fill="auto"/>
        <w:bidi w:val="0"/>
        <w:spacing w:before="0" w:after="320"/>
        <w:ind w:left="0" w:right="0" w:firstLine="0"/>
        <w:jc w:val="center"/>
      </w:pPr>
      <w:r>
        <w:rPr>
          <w:b/>
          <w:bCs/>
          <w:color w:val="000000"/>
          <w:spacing w:val="0"/>
          <w:w w:val="100"/>
          <w:position w:val="0"/>
          <w:shd w:val="clear" w:color="auto" w:fill="auto"/>
          <w:lang w:val="ru-RU" w:eastAsia="ru-RU" w:bidi="ru-RU"/>
        </w:rPr>
        <w:t>Предписание по делу №016/06/33-1428/2024</w:t>
        <w:br/>
        <w:t>об устранении нарушений действующего</w:t>
        <w:br/>
        <w:t>законодательства Российской Федерации</w:t>
      </w:r>
    </w:p>
    <w:p>
      <w:pPr>
        <w:pStyle w:val="Style2"/>
        <w:keepNext w:val="0"/>
        <w:keepLines w:val="0"/>
        <w:widowControl w:val="0"/>
        <w:shd w:val="clear" w:color="auto" w:fill="auto"/>
        <w:tabs>
          <w:tab w:pos="9072" w:val="left"/>
        </w:tabs>
        <w:bidi w:val="0"/>
        <w:spacing w:before="0" w:after="320"/>
        <w:ind w:left="0" w:right="0" w:firstLine="0"/>
        <w:jc w:val="both"/>
      </w:pPr>
      <w:r>
        <w:rPr>
          <w:color w:val="000000"/>
          <w:spacing w:val="0"/>
          <w:w w:val="100"/>
          <w:position w:val="0"/>
          <w:shd w:val="clear" w:color="auto" w:fill="auto"/>
          <w:lang w:val="ru-RU" w:eastAsia="ru-RU" w:bidi="ru-RU"/>
        </w:rPr>
        <w:t>17 октября 2024 года</w:t>
        <w:tab/>
        <w:t>г. Казань</w:t>
      </w:r>
    </w:p>
    <w:p>
      <w:pPr>
        <w:pStyle w:val="Style2"/>
        <w:keepNext w:val="0"/>
        <w:keepLines w:val="0"/>
        <w:widowControl w:val="0"/>
        <w:shd w:val="clear" w:color="auto" w:fill="auto"/>
        <w:bidi w:val="0"/>
        <w:spacing w:before="0" w:after="0"/>
        <w:ind w:left="0" w:right="0" w:firstLine="72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Татарстан по контролю в сфере закупок товаров, работ, услуг для обеспечения государственных и муниципальных нужд (далее - Комиссия) в составе:</w:t>
      </w:r>
    </w:p>
    <w:p>
      <w:pPr>
        <w:pStyle w:val="Style2"/>
        <w:keepNext w:val="0"/>
        <w:keepLines w:val="0"/>
        <w:widowControl w:val="0"/>
        <w:shd w:val="clear" w:color="auto" w:fill="auto"/>
        <w:tabs>
          <w:tab w:pos="5741" w:val="left"/>
        </w:tabs>
        <w:bidi w:val="0"/>
        <w:spacing w:before="0" w:after="120"/>
        <w:ind w:left="0" w:right="0" w:firstLine="860"/>
        <w:jc w:val="left"/>
      </w:pPr>
      <w:r>
        <w:rPr>
          <w:color w:val="000000"/>
          <w:spacing w:val="0"/>
          <w:w w:val="100"/>
          <w:position w:val="0"/>
          <w:shd w:val="clear" w:color="auto" w:fill="auto"/>
          <w:lang w:val="ru-RU" w:eastAsia="ru-RU" w:bidi="ru-RU"/>
        </w:rPr>
        <w:t>Зам. Председателя Комиссии:</w:t>
        <w:tab/>
        <w:t>Кучеевой А.С. - начальника отдела,</w:t>
      </w:r>
    </w:p>
    <w:p>
      <w:pPr>
        <w:pStyle w:val="Style2"/>
        <w:keepNext w:val="0"/>
        <w:keepLines w:val="0"/>
        <w:widowControl w:val="0"/>
        <w:shd w:val="clear" w:color="auto" w:fill="auto"/>
        <w:tabs>
          <w:tab w:pos="5741" w:val="left"/>
        </w:tabs>
        <w:bidi w:val="0"/>
        <w:spacing w:before="0" w:after="0"/>
        <w:ind w:left="0" w:right="0" w:firstLine="940"/>
        <w:jc w:val="both"/>
      </w:pPr>
      <w:r>
        <w:rPr>
          <w:color w:val="000000"/>
          <w:spacing w:val="0"/>
          <w:w w:val="100"/>
          <w:position w:val="0"/>
          <w:shd w:val="clear" w:color="auto" w:fill="auto"/>
          <w:lang w:val="ru-RU" w:eastAsia="ru-RU" w:bidi="ru-RU"/>
        </w:rPr>
        <w:t>Членов Комиссии:</w:t>
        <w:tab/>
        <w:t>Курмаевой Г.Р. - старшего</w:t>
      </w:r>
    </w:p>
    <w:p>
      <w:pPr>
        <w:pStyle w:val="Style2"/>
        <w:keepNext w:val="0"/>
        <w:keepLines w:val="0"/>
        <w:widowControl w:val="0"/>
        <w:shd w:val="clear" w:color="auto" w:fill="auto"/>
        <w:bidi w:val="0"/>
        <w:spacing w:before="0" w:after="0"/>
        <w:ind w:left="5800" w:right="0" w:firstLine="0"/>
        <w:jc w:val="left"/>
      </w:pPr>
      <w:r>
        <w:rPr>
          <w:color w:val="000000"/>
          <w:spacing w:val="0"/>
          <w:w w:val="100"/>
          <w:position w:val="0"/>
          <w:shd w:val="clear" w:color="auto" w:fill="auto"/>
          <w:lang w:val="ru-RU" w:eastAsia="ru-RU" w:bidi="ru-RU"/>
        </w:rPr>
        <w:t>государственного инспектора, Никитиной И.Г. - специалиста 1 разряда,</w:t>
      </w:r>
    </w:p>
    <w:p>
      <w:pPr>
        <w:pStyle w:val="Style2"/>
        <w:keepNext w:val="0"/>
        <w:keepLines w:val="0"/>
        <w:widowControl w:val="0"/>
        <w:shd w:val="clear" w:color="auto" w:fill="auto"/>
        <w:bidi w:val="0"/>
        <w:spacing w:before="0" w:after="0"/>
        <w:ind w:left="0" w:right="0" w:firstLine="0"/>
        <w:jc w:val="both"/>
      </w:pPr>
      <w:r>
        <w:rPr>
          <w:color w:val="000000"/>
          <w:spacing w:val="0"/>
          <w:w w:val="100"/>
          <w:position w:val="0"/>
          <w:shd w:val="clear" w:color="auto" w:fill="auto"/>
          <w:lang w:val="ru-RU" w:eastAsia="ru-RU" w:bidi="ru-RU"/>
        </w:rPr>
        <w:t>на основании своего решения от 17 октября 2024 года о выявленных нарушениях норм действующего законодательства о контрактной системе, допущенных заказчиком ГАУЗ "РКОД М3 РТ ИМ. ПРОФ. М.З.СИГАЛА" при проведении закупки №0711200008324000291 на предмет: «Поставка медицинского расходного материала (стекла для ПАО) для нужд ГАУЗ РКОД М3 РТ им. проф. М.З. Сигала на 2024 год», было выдано предписание:</w:t>
      </w:r>
    </w:p>
    <w:p>
      <w:pPr>
        <w:pStyle w:val="Style2"/>
        <w:keepNext w:val="0"/>
        <w:keepLines w:val="0"/>
        <w:widowControl w:val="0"/>
        <w:numPr>
          <w:ilvl w:val="0"/>
          <w:numId w:val="1"/>
        </w:numPr>
        <w:shd w:val="clear" w:color="auto" w:fill="auto"/>
        <w:tabs>
          <w:tab w:pos="917" w:val="left"/>
        </w:tabs>
        <w:bidi w:val="0"/>
        <w:spacing w:before="0" w:after="0"/>
        <w:ind w:left="0" w:right="0" w:firstLine="720"/>
        <w:jc w:val="both"/>
      </w:pPr>
      <w:r>
        <w:rPr>
          <w:color w:val="000000"/>
          <w:spacing w:val="0"/>
          <w:w w:val="100"/>
          <w:position w:val="0"/>
          <w:shd w:val="clear" w:color="auto" w:fill="auto"/>
          <w:lang w:val="ru-RU" w:eastAsia="ru-RU" w:bidi="ru-RU"/>
        </w:rPr>
        <w:t>отменить протокол подведения итогов закупки №0711200008324000291 от 17.10.2024г.;</w:t>
      </w:r>
    </w:p>
    <w:p>
      <w:pPr>
        <w:pStyle w:val="Style2"/>
        <w:keepNext w:val="0"/>
        <w:keepLines w:val="0"/>
        <w:widowControl w:val="0"/>
        <w:numPr>
          <w:ilvl w:val="0"/>
          <w:numId w:val="1"/>
        </w:numPr>
        <w:shd w:val="clear" w:color="auto" w:fill="auto"/>
        <w:tabs>
          <w:tab w:pos="947" w:val="left"/>
        </w:tabs>
        <w:bidi w:val="0"/>
        <w:spacing w:before="0" w:after="0"/>
        <w:ind w:left="0" w:right="0" w:firstLine="720"/>
        <w:jc w:val="both"/>
      </w:pPr>
      <w:r>
        <w:rPr>
          <w:color w:val="000000"/>
          <w:spacing w:val="0"/>
          <w:w w:val="100"/>
          <w:position w:val="0"/>
          <w:shd w:val="clear" w:color="auto" w:fill="auto"/>
          <w:lang w:val="ru-RU" w:eastAsia="ru-RU" w:bidi="ru-RU"/>
        </w:rPr>
        <w:t>внести изменения в извещение по вышеуказанной закупке, в соответствии с требованиями действующего законодательства и согласно решению Комиссии Татарстанского УФАС России от 17 октября 2024 года;</w:t>
      </w:r>
    </w:p>
    <w:p>
      <w:pPr>
        <w:pStyle w:val="Style2"/>
        <w:keepNext w:val="0"/>
        <w:keepLines w:val="0"/>
        <w:widowControl w:val="0"/>
        <w:numPr>
          <w:ilvl w:val="0"/>
          <w:numId w:val="1"/>
        </w:numPr>
        <w:shd w:val="clear" w:color="auto" w:fill="auto"/>
        <w:tabs>
          <w:tab w:pos="947" w:val="left"/>
        </w:tabs>
        <w:bidi w:val="0"/>
        <w:spacing w:before="0" w:after="0"/>
        <w:ind w:left="0" w:right="0" w:firstLine="720"/>
        <w:jc w:val="both"/>
      </w:pPr>
      <w:r>
        <w:rPr>
          <w:color w:val="000000"/>
          <w:spacing w:val="0"/>
          <w:w w:val="100"/>
          <w:position w:val="0"/>
          <w:shd w:val="clear" w:color="auto" w:fill="auto"/>
          <w:lang w:val="ru-RU" w:eastAsia="ru-RU" w:bidi="ru-RU"/>
        </w:rPr>
        <w:t>продлить сроки подачи заявок на участие в вышеуказанном аукционе так,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w:t>
      </w:r>
    </w:p>
    <w:p>
      <w:pPr>
        <w:pStyle w:val="Style2"/>
        <w:keepNext w:val="0"/>
        <w:keepLines w:val="0"/>
        <w:widowControl w:val="0"/>
        <w:numPr>
          <w:ilvl w:val="0"/>
          <w:numId w:val="1"/>
        </w:numPr>
        <w:shd w:val="clear" w:color="auto" w:fill="auto"/>
        <w:tabs>
          <w:tab w:pos="1617" w:val="left"/>
        </w:tabs>
        <w:bidi w:val="0"/>
        <w:spacing w:before="0" w:after="320" w:line="240" w:lineRule="auto"/>
        <w:ind w:left="0" w:right="0" w:firstLine="700"/>
        <w:jc w:val="both"/>
      </w:pPr>
      <w:r>
        <w:rPr>
          <w:color w:val="000000"/>
          <w:spacing w:val="0"/>
          <w:w w:val="100"/>
          <w:position w:val="0"/>
          <w:shd w:val="clear" w:color="auto" w:fill="auto"/>
          <w:lang w:val="ru-RU" w:eastAsia="ru-RU" w:bidi="ru-RU"/>
        </w:rPr>
        <w:t>при необходимости повторно провести процедуру размещения закупки в</w:t>
      </w:r>
    </w:p>
    <w:p>
      <w:pPr>
        <w:pStyle w:val="Style2"/>
        <w:keepNext w:val="0"/>
        <w:keepLines w:val="0"/>
        <w:widowControl w:val="0"/>
        <w:shd w:val="clear" w:color="auto" w:fill="auto"/>
        <w:bidi w:val="0"/>
        <w:spacing w:before="0" w:after="280" w:line="266" w:lineRule="auto"/>
        <w:ind w:left="700" w:right="0" w:hanging="700"/>
        <w:jc w:val="both"/>
      </w:pPr>
      <w:r>
        <w:rPr>
          <w:color w:val="000000"/>
          <w:spacing w:val="0"/>
          <w:w w:val="100"/>
          <w:position w:val="0"/>
          <w:shd w:val="clear" w:color="auto" w:fill="auto"/>
          <w:lang w:val="ru-RU" w:eastAsia="ru-RU" w:bidi="ru-RU"/>
        </w:rPr>
        <w:t>соответствии с требованиями действующего законодательства. На основании изложенного, Комиссия</w:t>
      </w:r>
    </w:p>
    <w:p>
      <w:pPr>
        <w:pStyle w:val="Style2"/>
        <w:keepNext w:val="0"/>
        <w:keepLines w:val="0"/>
        <w:widowControl w:val="0"/>
        <w:shd w:val="clear" w:color="auto" w:fill="auto"/>
        <w:bidi w:val="0"/>
        <w:spacing w:before="0" w:after="340" w:line="240" w:lineRule="auto"/>
        <w:ind w:left="0" w:right="0" w:firstLine="0"/>
        <w:jc w:val="center"/>
      </w:pPr>
      <w:r>
        <w:rPr>
          <w:color w:val="000000"/>
          <w:spacing w:val="0"/>
          <w:w w:val="100"/>
          <w:position w:val="0"/>
          <w:shd w:val="clear" w:color="auto" w:fill="auto"/>
          <w:lang w:val="ru-RU" w:eastAsia="ru-RU" w:bidi="ru-RU"/>
        </w:rPr>
        <w:t>ПРЕДПИСЫВАЕТ:</w:t>
      </w:r>
    </w:p>
    <w:p>
      <w:pPr>
        <w:pStyle w:val="Style2"/>
        <w:keepNext w:val="0"/>
        <w:keepLines w:val="0"/>
        <w:widowControl w:val="0"/>
        <w:shd w:val="clear" w:color="auto" w:fill="auto"/>
        <w:bidi w:val="0"/>
        <w:spacing w:before="0" w:after="0" w:line="262" w:lineRule="auto"/>
        <w:ind w:left="0" w:right="0" w:firstLine="700"/>
        <w:jc w:val="both"/>
      </w:pPr>
      <w:r>
        <w:rPr>
          <w:color w:val="000000"/>
          <w:spacing w:val="0"/>
          <w:w w:val="100"/>
          <w:position w:val="0"/>
          <w:shd w:val="clear" w:color="auto" w:fill="auto"/>
          <w:lang w:val="ru-RU" w:eastAsia="ru-RU" w:bidi="ru-RU"/>
        </w:rPr>
        <w:t>Оператору электронной площадки АГЗ РТ:</w:t>
      </w:r>
    </w:p>
    <w:p>
      <w:pPr>
        <w:pStyle w:val="Style2"/>
        <w:keepNext w:val="0"/>
        <w:keepLines w:val="0"/>
        <w:widowControl w:val="0"/>
        <w:numPr>
          <w:ilvl w:val="0"/>
          <w:numId w:val="1"/>
        </w:numPr>
        <w:shd w:val="clear" w:color="auto" w:fill="auto"/>
        <w:tabs>
          <w:tab w:pos="1002" w:val="left"/>
        </w:tabs>
        <w:bidi w:val="0"/>
        <w:spacing w:before="0" w:after="0" w:line="262" w:lineRule="auto"/>
        <w:ind w:left="0" w:right="0" w:firstLine="720"/>
        <w:jc w:val="both"/>
      </w:pPr>
      <w:r>
        <w:rPr>
          <w:color w:val="000000"/>
          <w:spacing w:val="0"/>
          <w:w w:val="100"/>
          <w:position w:val="0"/>
          <w:shd w:val="clear" w:color="auto" w:fill="auto"/>
          <w:lang w:val="ru-RU" w:eastAsia="ru-RU" w:bidi="ru-RU"/>
        </w:rPr>
        <w:t>предоставить Заказчику при проведении закупки №0711200008324000291 на предмет: «Поставка медицинского расходного материала (стекла для ПАО) для нужд ГАУЗ РКОД М3 РТ им. проф. М.З. Сигала на 2024 год» техническую возможность исполнить выданное Татарстанским УФАС России предписание об устранении нарушений.</w:t>
      </w:r>
    </w:p>
    <w:p>
      <w:pPr>
        <w:pStyle w:val="Style2"/>
        <w:keepNext w:val="0"/>
        <w:keepLines w:val="0"/>
        <w:widowControl w:val="0"/>
        <w:shd w:val="clear" w:color="auto" w:fill="auto"/>
        <w:bidi w:val="0"/>
        <w:spacing w:before="0" w:after="0" w:line="262" w:lineRule="auto"/>
        <w:ind w:left="0" w:right="0" w:firstLine="720"/>
        <w:jc w:val="both"/>
      </w:pPr>
      <w:r>
        <w:rPr>
          <w:color w:val="000000"/>
          <w:spacing w:val="0"/>
          <w:w w:val="100"/>
          <w:position w:val="0"/>
          <w:shd w:val="clear" w:color="auto" w:fill="auto"/>
          <w:lang w:val="ru-RU" w:eastAsia="ru-RU" w:bidi="ru-RU"/>
        </w:rPr>
        <w:t>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w:t>
      </w:r>
    </w:p>
    <w:p>
      <w:pPr>
        <w:pStyle w:val="Style2"/>
        <w:keepNext w:val="0"/>
        <w:keepLines w:val="0"/>
        <w:widowControl w:val="0"/>
        <w:shd w:val="clear" w:color="auto" w:fill="auto"/>
        <w:bidi w:val="0"/>
        <w:spacing w:before="0" w:after="680" w:line="262" w:lineRule="auto"/>
        <w:ind w:left="0" w:right="0" w:firstLine="720"/>
        <w:jc w:val="both"/>
      </w:pPr>
      <w:r>
        <w:rPr>
          <w:color w:val="000000"/>
          <w:spacing w:val="0"/>
          <w:w w:val="100"/>
          <w:position w:val="0"/>
          <w:shd w:val="clear" w:color="auto" w:fill="auto"/>
          <w:lang w:val="ru-RU" w:eastAsia="ru-RU" w:bidi="ru-RU"/>
        </w:rPr>
        <w:t>Предписание Комиссии может быть обжаловано в судебнтиюрядке в течение трех месяцев со дня его принятия.</w:t>
      </w:r>
    </w:p>
    <w:p>
      <w:pPr>
        <w:pStyle w:val="Style2"/>
        <w:keepNext w:val="0"/>
        <w:keepLines w:val="0"/>
        <w:widowControl w:val="0"/>
        <w:shd w:val="clear" w:color="auto" w:fill="auto"/>
        <w:tabs>
          <w:tab w:pos="5864" w:val="left"/>
          <w:tab w:pos="9214" w:val="left"/>
        </w:tabs>
        <w:bidi w:val="0"/>
        <w:spacing w:before="0" w:after="540" w:line="262" w:lineRule="auto"/>
        <w:ind w:left="0" w:right="0" w:firstLine="800"/>
        <w:jc w:val="left"/>
      </w:pPr>
      <w:r>
        <w:rPr>
          <w:color w:val="000000"/>
          <w:spacing w:val="0"/>
          <w:w w:val="100"/>
          <w:position w:val="0"/>
          <w:shd w:val="clear" w:color="auto" w:fill="auto"/>
          <w:lang w:val="ru-RU" w:eastAsia="ru-RU" w:bidi="ru-RU"/>
        </w:rPr>
        <w:t>Зам. Председателя Комиссии</w:t>
        <w:tab/>
        <w:t>{</w:t>
        <w:tab/>
        <w:t>Кучеева</w:t>
      </w:r>
    </w:p>
    <w:p>
      <w:pPr>
        <w:pStyle w:val="Style2"/>
        <w:keepNext w:val="0"/>
        <w:keepLines w:val="0"/>
        <w:widowControl w:val="0"/>
        <w:shd w:val="clear" w:color="auto" w:fill="auto"/>
        <w:tabs>
          <w:tab w:pos="9013" w:val="left"/>
        </w:tabs>
        <w:bidi w:val="0"/>
        <w:spacing w:before="0" w:after="280" w:line="262" w:lineRule="auto"/>
        <w:ind w:left="0" w:right="0" w:firstLine="800"/>
        <w:jc w:val="both"/>
      </w:pPr>
      <w:r>
        <w:rPr>
          <w:color w:val="000000"/>
          <w:spacing w:val="0"/>
          <w:w w:val="100"/>
          <w:position w:val="0"/>
          <w:shd w:val="clear" w:color="auto" w:fill="auto"/>
          <w:lang w:val="ru-RU" w:eastAsia="ru-RU" w:bidi="ru-RU"/>
        </w:rPr>
        <w:t>Члены Комиссии</w:t>
        <w:tab/>
        <w:t>^-УР</w:t>
      </w:r>
      <w:r>
        <w:rPr>
          <w:color w:val="000000"/>
          <w:spacing w:val="0"/>
          <w:w w:val="100"/>
          <w:position w:val="0"/>
          <w:shd w:val="clear" w:color="auto" w:fill="auto"/>
          <w:vertAlign w:val="superscript"/>
          <w:lang w:val="ru-RU" w:eastAsia="ru-RU" w:bidi="ru-RU"/>
        </w:rPr>
        <w:t>маева</w:t>
      </w:r>
    </w:p>
    <w:p>
      <w:pPr>
        <w:pStyle w:val="Style2"/>
        <w:keepNext w:val="0"/>
        <w:keepLines w:val="0"/>
        <w:widowControl w:val="0"/>
        <w:shd w:val="clear" w:color="auto" w:fill="auto"/>
        <w:bidi w:val="0"/>
        <w:spacing w:before="0" w:after="5500" w:line="262" w:lineRule="auto"/>
        <w:ind w:left="0" w:right="0" w:firstLine="0"/>
        <w:jc w:val="right"/>
      </w:pPr>
      <w:r>
        <w:rPr>
          <w:color w:val="000000"/>
          <w:spacing w:val="0"/>
          <w:w w:val="100"/>
          <w:position w:val="0"/>
          <w:shd w:val="clear" w:color="auto" w:fill="auto"/>
          <w:lang w:val="ru-RU" w:eastAsia="ru-RU" w:bidi="ru-RU"/>
        </w:rPr>
        <w:t>У'ХИ.Г. Никитина</w:t>
      </w:r>
    </w:p>
    <w:p>
      <w:pPr>
        <w:pStyle w:val="Style2"/>
        <w:keepNext w:val="0"/>
        <w:keepLines w:val="0"/>
        <w:widowControl w:val="0"/>
        <w:shd w:val="clear" w:color="auto" w:fill="auto"/>
        <w:bidi w:val="0"/>
        <w:spacing w:before="0" w:after="44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Исп. Никитина И.Г., Тел. (843)293-10-91</w:t>
      </w:r>
    </w:p>
    <w:sectPr>
      <w:footnotePr>
        <w:pos w:val="pageBottom"/>
        <w:numFmt w:val="decimal"/>
        <w:numRestart w:val="continuous"/>
      </w:footnotePr>
      <w:type w:val="continuous"/>
      <w:pgSz w:w="11900" w:h="16840"/>
      <w:pgMar w:top="1045" w:right="661" w:bottom="1209" w:left="938"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748030</wp:posOffset>
              </wp:positionH>
              <wp:positionV relativeFrom="page">
                <wp:posOffset>10338435</wp:posOffset>
              </wp:positionV>
              <wp:extent cx="567055" cy="115570"/>
              <wp:wrapNone/>
              <wp:docPr id="5" name="Shape 5"/>
              <a:graphic xmlns:a="http://schemas.openxmlformats.org/drawingml/2006/main">
                <a:graphicData uri="http://schemas.microsoft.com/office/word/2010/wordprocessingShape">
                  <wps:wsp>
                    <wps:cNvSpPr txBox="1"/>
                    <wps:spPr>
                      <a:xfrm>
                        <a:ext cx="567055" cy="11557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ru-RU" w:eastAsia="ru-RU" w:bidi="ru-RU"/>
                            </w:rPr>
                            <w:t>234539</w:t>
                          </w:r>
                        </w:p>
                      </w:txbxContent>
                    </wps:txbx>
                    <wps:bodyPr wrap="none" lIns="0" tIns="0" rIns="0" bIns="0">
                      <a:spAutoFit/>
                    </wps:bodyPr>
                  </wps:wsp>
                </a:graphicData>
              </a:graphic>
            </wp:anchor>
          </w:drawing>
        </mc:Choice>
        <mc:Fallback>
          <w:pict>
            <v:shape id="_x0000_s1031" type="#_x0000_t202" style="position:absolute;margin-left:58.899999999999999pt;margin-top:814.05000000000007pt;width:44.649999999999999pt;height:9.0999999999999996pt;z-index:-188744063;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rFonts w:ascii="Arial" w:eastAsia="Arial" w:hAnsi="Arial" w:cs="Arial"/>
                        <w:color w:val="000000"/>
                        <w:spacing w:val="0"/>
                        <w:w w:val="100"/>
                        <w:position w:val="0"/>
                        <w:sz w:val="24"/>
                        <w:szCs w:val="24"/>
                        <w:shd w:val="clear" w:color="auto" w:fill="auto"/>
                        <w:lang w:val="ru-RU" w:eastAsia="ru-RU" w:bidi="ru-RU"/>
                      </w:rPr>
                      <w:t>234539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_"/>
    <w:basedOn w:val="DefaultParagraphFont"/>
    <w:link w:val="Style2"/>
    <w:rPr>
      <w:rFonts w:ascii="Times New Roman" w:eastAsia="Times New Roman" w:hAnsi="Times New Roman" w:cs="Times New Roman"/>
      <w:b w:val="0"/>
      <w:bCs w:val="0"/>
      <w:i w:val="0"/>
      <w:iCs w:val="0"/>
      <w:smallCaps w:val="0"/>
      <w:strike w:val="0"/>
      <w:sz w:val="26"/>
      <w:szCs w:val="26"/>
      <w:u w:val="none"/>
    </w:rPr>
  </w:style>
  <w:style w:type="character" w:customStyle="1" w:styleId="CharStyle6">
    <w:name w:val="Основной текст (2)_"/>
    <w:basedOn w:val="DefaultParagraphFont"/>
    <w:link w:val="Style5"/>
    <w:rPr>
      <w:rFonts w:ascii="Times New Roman" w:eastAsia="Times New Roman" w:hAnsi="Times New Roman" w:cs="Times New Roman"/>
      <w:b w:val="0"/>
      <w:bCs w:val="0"/>
      <w:i w:val="0"/>
      <w:iCs w:val="0"/>
      <w:smallCaps w:val="0"/>
      <w:strike w:val="0"/>
      <w:color w:val="476494"/>
      <w:sz w:val="15"/>
      <w:szCs w:val="15"/>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paragraph" w:customStyle="1" w:styleId="Style2">
    <w:name w:val="Основной текст"/>
    <w:basedOn w:val="Normal"/>
    <w:link w:val="CharStyle3"/>
    <w:pPr>
      <w:widowControl w:val="0"/>
      <w:shd w:val="clear" w:color="auto" w:fill="auto"/>
      <w:spacing w:line="259" w:lineRule="auto"/>
    </w:pPr>
    <w:rPr>
      <w:rFonts w:ascii="Times New Roman" w:eastAsia="Times New Roman" w:hAnsi="Times New Roman" w:cs="Times New Roman"/>
      <w:b w:val="0"/>
      <w:bCs w:val="0"/>
      <w:i w:val="0"/>
      <w:iCs w:val="0"/>
      <w:smallCaps w:val="0"/>
      <w:strike w:val="0"/>
      <w:sz w:val="26"/>
      <w:szCs w:val="26"/>
      <w:u w:val="none"/>
    </w:rPr>
  </w:style>
  <w:style w:type="paragraph" w:customStyle="1" w:styleId="Style5">
    <w:name w:val="Основной текст (2)"/>
    <w:basedOn w:val="Normal"/>
    <w:link w:val="CharStyle6"/>
    <w:pPr>
      <w:widowControl w:val="0"/>
      <w:shd w:val="clear" w:color="auto" w:fill="auto"/>
      <w:spacing w:line="286" w:lineRule="auto"/>
      <w:jc w:val="center"/>
    </w:pPr>
    <w:rPr>
      <w:rFonts w:ascii="Times New Roman" w:eastAsia="Times New Roman" w:hAnsi="Times New Roman" w:cs="Times New Roman"/>
      <w:b w:val="0"/>
      <w:bCs w:val="0"/>
      <w:i w:val="0"/>
      <w:iCs w:val="0"/>
      <w:smallCaps w:val="0"/>
      <w:strike w:val="0"/>
      <w:color w:val="476494"/>
      <w:sz w:val="15"/>
      <w:szCs w:val="15"/>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footer" Target="footer1.xml"/><Relationship Id="rId8" Type="http://schemas.openxmlformats.org/officeDocument/2006/relationships/footer" Target="footer2.xml"/></Relationships>
</file>