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3704590</wp:posOffset>
            </wp:positionH>
            <wp:positionV relativeFrom="paragraph">
              <wp:posOffset>12700</wp:posOffset>
            </wp:positionV>
            <wp:extent cx="560705" cy="66421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64210"/>
                    </a:xfrm>
                    <a:prstGeom prst="rect"/>
                  </pic:spPr>
                </pic:pic>
              </a:graphicData>
            </a:graphic>
          </wp:anchor>
        </w:drawing>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br/>
        <w:t>е-таП: 1о11@Га8.§оу.ги</w:t>
      </w:r>
    </w:p>
    <w:p>
      <w:pPr>
        <w:pStyle w:val="Style10"/>
        <w:keepNext w:val="0"/>
        <w:keepLines w:val="0"/>
        <w:widowControl w:val="0"/>
        <w:shd w:val="clear" w:color="auto" w:fill="auto"/>
        <w:tabs>
          <w:tab w:pos="1843" w:val="left"/>
        </w:tabs>
        <w:bidi w:val="0"/>
        <w:spacing w:before="0"/>
        <w:ind w:left="0" w:right="0" w:firstLine="0"/>
        <w:jc w:val="center"/>
      </w:pPr>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ОД/6068/2</w:t>
      </w:r>
      <w:r>
        <w:rPr>
          <w:color w:val="000000"/>
          <w:spacing w:val="0"/>
          <w:w w:val="100"/>
          <w:position w:val="0"/>
          <w:u w:val="none"/>
          <w:shd w:val="clear" w:color="auto" w:fill="auto"/>
          <w:lang w:val="ru-RU" w:eastAsia="ru-RU" w:bidi="ru-RU"/>
        </w:rPr>
        <w:t>4</w:t>
      </w:r>
    </w:p>
    <w:p>
      <w:pPr>
        <w:pStyle w:val="Style8"/>
        <w:keepNext w:val="0"/>
        <w:keepLines w:val="0"/>
        <w:widowControl w:val="0"/>
        <w:shd w:val="clear" w:color="auto" w:fill="auto"/>
        <w:bidi w:val="0"/>
        <w:spacing w:before="0" w:after="0" w:line="271"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2"/>
        <w:keepNext w:val="0"/>
        <w:keepLines w:val="0"/>
        <w:widowControl w:val="0"/>
        <w:shd w:val="clear" w:color="auto" w:fill="auto"/>
        <w:bidi w:val="0"/>
        <w:spacing w:before="0" w:after="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w:t>
      </w:r>
    </w:p>
    <w:p>
      <w:pPr>
        <w:pStyle w:val="Style2"/>
        <w:keepNext w:val="0"/>
        <w:keepLines w:val="0"/>
        <w:widowControl w:val="0"/>
        <w:shd w:val="clear" w:color="auto" w:fill="auto"/>
        <w:bidi w:val="0"/>
        <w:spacing w:before="0" w:after="140" w:line="288" w:lineRule="auto"/>
        <w:ind w:left="380" w:right="380" w:firstLine="0"/>
        <w:jc w:val="right"/>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8"/>
        <w:keepNext w:val="0"/>
        <w:keepLines w:val="0"/>
        <w:widowControl w:val="0"/>
        <w:shd w:val="clear" w:color="auto" w:fill="auto"/>
        <w:bidi w:val="0"/>
        <w:spacing w:before="0" w:after="0" w:line="259" w:lineRule="auto"/>
        <w:ind w:left="380" w:right="380" w:firstLine="0"/>
        <w:jc w:val="right"/>
      </w:pPr>
      <w:r>
        <w:rPr>
          <w:spacing w:val="0"/>
          <w:w w:val="100"/>
          <w:position w:val="0"/>
          <w:shd w:val="clear" w:color="auto" w:fill="auto"/>
          <w:lang w:val="ru-RU" w:eastAsia="ru-RU" w:bidi="ru-RU"/>
        </w:rPr>
        <w:t>Федеральной антимонопольной службалбн Коми Республиками</w:t>
      </w:r>
    </w:p>
    <w:p>
      <w:pPr>
        <w:pStyle w:val="Style8"/>
        <w:keepNext w:val="0"/>
        <w:keepLines w:val="0"/>
        <w:widowControl w:val="0"/>
        <w:shd w:val="clear" w:color="auto" w:fill="auto"/>
        <w:bidi w:val="0"/>
        <w:spacing w:before="0" w:after="260" w:line="259" w:lineRule="auto"/>
        <w:ind w:left="1840" w:right="0" w:firstLine="0"/>
        <w:jc w:val="left"/>
      </w:pPr>
      <w:r>
        <w:rPr>
          <w:spacing w:val="0"/>
          <w:w w:val="100"/>
          <w:position w:val="0"/>
          <w:shd w:val="clear" w:color="auto" w:fill="auto"/>
          <w:lang w:val="ru-RU" w:eastAsia="ru-RU" w:bidi="ru-RU"/>
        </w:rPr>
        <w:t>ВЕСЬКОДЛАНШ</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е-таП: 1о11@Га8.§оу.га</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Заявитель:</w:t>
      </w:r>
    </w:p>
    <w:p>
      <w:pPr>
        <w:pStyle w:val="Style14"/>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23" w:right="1266" w:bottom="1317" w:left="1111" w:header="0" w:footer="3" w:gutter="0"/>
          <w:pgNumType w:start="1"/>
          <w:cols w:num="2" w:space="470"/>
          <w:noEndnote/>
          <w:titlePg/>
          <w:rtlGutter w:val="0"/>
          <w:docGrid w:linePitch="360"/>
        </w:sectPr>
      </w:pPr>
      <w:r>
        <w:rPr>
          <w:b/>
          <w:bCs/>
          <w:color w:val="000000"/>
          <w:spacing w:val="0"/>
          <w:w w:val="100"/>
          <w:position w:val="0"/>
          <w:shd w:val="clear" w:color="auto" w:fill="auto"/>
          <w:lang w:val="ru-RU" w:eastAsia="ru-RU" w:bidi="ru-RU"/>
        </w:rPr>
        <w:t>Общество с ограниченной ответственностью «Южно-Уральский центр снабжения»</w:t>
      </w:r>
    </w:p>
    <w:p>
      <w:pPr>
        <w:widowControl w:val="0"/>
        <w:spacing w:line="21" w:lineRule="exact"/>
        <w:rPr>
          <w:sz w:val="2"/>
          <w:szCs w:val="2"/>
        </w:rPr>
      </w:pPr>
    </w:p>
    <w:p>
      <w:pPr>
        <w:widowControl w:val="0"/>
        <w:spacing w:line="1" w:lineRule="exact"/>
        <w:sectPr>
          <w:footnotePr>
            <w:pos w:val="pageBottom"/>
            <w:numFmt w:val="decimal"/>
            <w:numRestart w:val="continuous"/>
          </w:footnotePr>
          <w:type w:val="continuous"/>
          <w:pgSz w:w="11900" w:h="16840"/>
          <w:pgMar w:top="1159" w:right="0" w:bottom="950"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79" behindDoc="0" locked="0" layoutInCell="1" allowOverlap="1">
                <wp:simplePos x="0" y="0"/>
                <wp:positionH relativeFrom="page">
                  <wp:posOffset>735965</wp:posOffset>
                </wp:positionH>
                <wp:positionV relativeFrom="paragraph">
                  <wp:posOffset>12700</wp:posOffset>
                </wp:positionV>
                <wp:extent cx="673735" cy="234950"/>
                <wp:wrapSquare wrapText="right"/>
                <wp:docPr id="9" name="Shape 9"/>
                <a:graphic xmlns:a="http://schemas.openxmlformats.org/drawingml/2006/main">
                  <a:graphicData uri="http://schemas.microsoft.com/office/word/2010/wordprocessingShape">
                    <wps:wsp>
                      <wps:cNvSpPr txBox="1"/>
                      <wps:spPr>
                        <a:xfrm>
                          <a:ext cx="67373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5" type="#_x0000_t202" style="position:absolute;margin-left:57.950000000000003pt;margin-top:1.pt;width:53.050000000000004pt;height:18.5pt;z-index:-125829374;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v:textbox>
                <w10:wrap type="square" side="right" anchorx="page"/>
              </v:shape>
            </w:pict>
          </mc:Fallback>
        </mc:AlternateContent>
      </w:r>
      <w:r>
        <w:drawing>
          <wp:anchor distT="50800" distB="0" distL="114300" distR="114300" simplePos="0" relativeHeight="125829381" behindDoc="0" locked="0" layoutInCell="1" allowOverlap="1">
            <wp:simplePos x="0" y="0"/>
            <wp:positionH relativeFrom="page">
              <wp:posOffset>717550</wp:posOffset>
            </wp:positionH>
            <wp:positionV relativeFrom="paragraph">
              <wp:posOffset>6610985</wp:posOffset>
            </wp:positionV>
            <wp:extent cx="1517650" cy="28638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517650" cy="286385"/>
                    </a:xfrm>
                    <a:prstGeom prst="rect"/>
                  </pic:spPr>
                </pic:pic>
              </a:graphicData>
            </a:graphic>
          </wp:anchor>
        </w:drawing>
      </w:r>
    </w:p>
    <w:p>
      <w:pPr>
        <w:pStyle w:val="Style14"/>
        <w:keepNext w:val="0"/>
        <w:keepLines w:val="0"/>
        <w:widowControl w:val="0"/>
        <w:shd w:val="clear" w:color="auto" w:fill="auto"/>
        <w:bidi w:val="0"/>
        <w:spacing w:before="0" w:after="260" w:line="240" w:lineRule="auto"/>
        <w:ind w:left="37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Заказчик:</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Министерство здравоохранения Республики Коми</w:t>
      </w:r>
    </w:p>
    <w:p>
      <w:pPr>
        <w:pStyle w:val="Style14"/>
        <w:keepNext w:val="0"/>
        <w:keepLines w:val="0"/>
        <w:widowControl w:val="0"/>
        <w:shd w:val="clear" w:color="auto" w:fill="auto"/>
        <w:bidi w:val="0"/>
        <w:spacing w:before="0" w:after="260" w:line="240" w:lineRule="auto"/>
        <w:ind w:left="50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Уполномоченное учреждение:</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Государственное казенное учреждение Республики Коми «Центр обеспечения организации и проведения торгов»</w:t>
      </w:r>
    </w:p>
    <w:p>
      <w:pPr>
        <w:pStyle w:val="Style14"/>
        <w:keepNext w:val="0"/>
        <w:keepLines w:val="0"/>
        <w:widowControl w:val="0"/>
        <w:shd w:val="clear" w:color="auto" w:fill="auto"/>
        <w:bidi w:val="0"/>
        <w:spacing w:before="0" w:after="260" w:line="240" w:lineRule="auto"/>
        <w:ind w:left="5020" w:right="0" w:firstLine="0"/>
        <w:jc w:val="left"/>
      </w:pPr>
      <w:r>
        <w:rPr>
          <w:color w:val="000000"/>
          <w:spacing w:val="0"/>
          <w:w w:val="100"/>
          <w:position w:val="0"/>
          <w:shd w:val="clear" w:color="auto" w:fill="auto"/>
          <w:lang w:val="ru-RU" w:eastAsia="ru-RU" w:bidi="ru-RU"/>
        </w:rPr>
        <w:t>через Единую информацию систему</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Общество с ограниченной ответственностью «РТС-Тендер»</w:t>
      </w:r>
    </w:p>
    <w:p>
      <w:pPr>
        <w:pStyle w:val="Style14"/>
        <w:keepNext w:val="0"/>
        <w:keepLines w:val="0"/>
        <w:widowControl w:val="0"/>
        <w:shd w:val="clear" w:color="auto" w:fill="auto"/>
        <w:bidi w:val="0"/>
        <w:spacing w:before="0" w:after="660" w:line="240" w:lineRule="auto"/>
        <w:ind w:left="50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23"/>
        <w:keepNext/>
        <w:keepLines/>
        <w:widowControl w:val="0"/>
        <w:shd w:val="clear" w:color="auto" w:fill="auto"/>
        <w:bidi w:val="0"/>
        <w:spacing w:before="0" w:after="0" w:line="240" w:lineRule="auto"/>
        <w:ind w:left="0" w:right="0" w:firstLine="0"/>
        <w:jc w:val="center"/>
        <w:rPr>
          <w:sz w:val="32"/>
          <w:szCs w:val="32"/>
        </w:rPr>
      </w:pPr>
      <w:bookmarkStart w:id="0" w:name="bookmark0"/>
      <w:r>
        <w:rPr>
          <w:b/>
          <w:bCs/>
          <w:color w:val="000000"/>
          <w:spacing w:val="0"/>
          <w:w w:val="100"/>
          <w:position w:val="0"/>
          <w:sz w:val="32"/>
          <w:szCs w:val="32"/>
          <w:shd w:val="clear" w:color="auto" w:fill="auto"/>
          <w:lang w:val="ru-RU" w:eastAsia="ru-RU" w:bidi="ru-RU"/>
        </w:rPr>
        <w:t>РЕШЕНИЕ</w:t>
      </w:r>
      <w:bookmarkEnd w:id="0"/>
    </w:p>
    <w:p>
      <w:pPr>
        <w:pStyle w:val="Style14"/>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по жалобе № 011/06/49-951/2024</w:t>
      </w:r>
    </w:p>
    <w:p>
      <w:pPr>
        <w:pStyle w:val="Style14"/>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6124575</wp:posOffset>
                </wp:positionH>
                <wp:positionV relativeFrom="paragraph">
                  <wp:posOffset>12700</wp:posOffset>
                </wp:positionV>
                <wp:extent cx="951230" cy="234950"/>
                <wp:wrapSquare wrapText="left"/>
                <wp:docPr id="13" name="Shape 13"/>
                <a:graphic xmlns:a="http://schemas.openxmlformats.org/drawingml/2006/main">
                  <a:graphicData uri="http://schemas.microsoft.com/office/word/2010/wordprocessingShape">
                    <wps:wsp>
                      <wps:cNvSpPr txBox="1"/>
                      <wps:spPr>
                        <a:xfrm>
                          <a:ext cx="95123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Сыктывкар</w:t>
                            </w:r>
                          </w:p>
                        </w:txbxContent>
                      </wps:txbx>
                      <wps:bodyPr wrap="none" lIns="0" tIns="0" rIns="0" bIns="0">
                        <a:noAutoFit/>
                      </wps:bodyPr>
                    </wps:wsp>
                  </a:graphicData>
                </a:graphic>
              </wp:anchor>
            </w:drawing>
          </mc:Choice>
          <mc:Fallback>
            <w:pict>
              <v:shape id="_x0000_s1039" type="#_x0000_t202" style="position:absolute;margin-left:482.25pt;margin-top:1.pt;width:74.900000000000006pt;height:18.5pt;z-index:-125829371;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Сыктывкар</w:t>
                      </w:r>
                    </w:p>
                  </w:txbxContent>
                </v:textbox>
                <w10:wrap type="square" side="left" anchorx="page"/>
              </v:shape>
            </w:pict>
          </mc:Fallback>
        </mc:AlternateContent>
      </w:r>
      <w:r>
        <w:rPr>
          <w:color w:val="000000"/>
          <w:spacing w:val="0"/>
          <w:w w:val="100"/>
          <w:position w:val="0"/>
          <w:shd w:val="clear" w:color="auto" w:fill="auto"/>
          <w:lang w:val="ru-RU" w:eastAsia="ru-RU" w:bidi="ru-RU"/>
        </w:rPr>
        <w:t>18 октября 2024 года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Комиссия Управления Федеральной антимонопольной службы по Республике Коми по контролю в сфере закупок, созданная приказом Коми УФАС России от 03.11.2022 № 156 «О создании комиссии по контролю в сфере закупок» в составе: Дейберт О.И. - заместителя руководителя управления - начальника отдела контроля закупок, председателя Комиссии; Мокиенко А.А. - специалиста-эксперта отдела контроля закупок управления, </w:t>
      </w:r>
      <w:r>
        <w:rPr>
          <w:color w:val="000000"/>
          <w:spacing w:val="0"/>
          <w:w w:val="100"/>
          <w:position w:val="0"/>
          <w:shd w:val="clear" w:color="auto" w:fill="auto"/>
          <w:lang w:val="ru-RU" w:eastAsia="ru-RU" w:bidi="ru-RU"/>
        </w:rPr>
        <w:t>члена Комиссии; Растегаевой А.Д. - специалиста-эксперта отдела контроля закупок управления, члена Комиссии (далее - Комиссия Коми УФАС России), рассмотрев общества с ограниченной ответственностью «Южно-Уральский центр снабжения» (456320, Челябинская обл., г. Миасс, Ильмен-Тау, д. 20/1, оф. 34; ОГРН: 1167456109952, ИНН: 7415095267, КПП: 741501001) (далее - ООО «ЮУРЦС») от 11.10.2024 № 691 (вх. от 11.10.2024 № 9785/24) на действия аукционной комиссии уполномоченного органа - государственного казенного учреждения Республики Коми «Центр обеспечения организации и проведения торгов» (167000, Республика Коми, ул. Коммунистическая, д. 8; ОГРН: 1111101004420, ИНН: 1101486861, КПП: 110101001) (далее - ГКУ РК «ЦООиПТ») при проведении закупки путем проведения электронного аукциона «Поставка электрокардиографов в рамках проекта «Модернизация первичного звена здравоохранения» в 2025 году (№)», извещение № 0307200030624002141 (далее - жалоба), в присутствии (посредством веб-конференции):</w:t>
      </w:r>
    </w:p>
    <w:p>
      <w:pPr>
        <w:pStyle w:val="Style14"/>
        <w:keepNext w:val="0"/>
        <w:keepLines w:val="0"/>
        <w:widowControl w:val="0"/>
        <w:numPr>
          <w:ilvl w:val="0"/>
          <w:numId w:val="1"/>
        </w:numPr>
        <w:shd w:val="clear" w:color="auto" w:fill="auto"/>
        <w:tabs>
          <w:tab w:pos="93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Суворина Ю.Г. - генерального директора ООО «ЮУРЦС» по протоколу № 4 от 01.02.2024 единственного учредителя (участника) ООО «ЮУРЦС»;</w:t>
      </w:r>
    </w:p>
    <w:p>
      <w:pPr>
        <w:pStyle w:val="Style14"/>
        <w:keepNext w:val="0"/>
        <w:keepLines w:val="0"/>
        <w:widowControl w:val="0"/>
        <w:numPr>
          <w:ilvl w:val="0"/>
          <w:numId w:val="1"/>
        </w:numPr>
        <w:shd w:val="clear" w:color="auto" w:fill="auto"/>
        <w:tabs>
          <w:tab w:pos="91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Шуплецовой Т.Т. (очно) - представителя ГКУ РК «ЦООиПТ» по доверенности от 12.02.2024 № 14;</w:t>
      </w:r>
    </w:p>
    <w:p>
      <w:pPr>
        <w:pStyle w:val="Style14"/>
        <w:keepNext w:val="0"/>
        <w:keepLines w:val="0"/>
        <w:widowControl w:val="0"/>
        <w:numPr>
          <w:ilvl w:val="0"/>
          <w:numId w:val="1"/>
        </w:numPr>
        <w:shd w:val="clear" w:color="auto" w:fill="auto"/>
        <w:tabs>
          <w:tab w:pos="94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Чужмаровой Н.А. (очно) - представителя ГКУ РК «ЦООиПТ» по доверенности от 22.06.2023 № 23;</w:t>
      </w:r>
    </w:p>
    <w:p>
      <w:pPr>
        <w:pStyle w:val="Style14"/>
        <w:keepNext w:val="0"/>
        <w:keepLines w:val="0"/>
        <w:widowControl w:val="0"/>
        <w:numPr>
          <w:ilvl w:val="0"/>
          <w:numId w:val="1"/>
        </w:numPr>
        <w:shd w:val="clear" w:color="auto" w:fill="auto"/>
        <w:tabs>
          <w:tab w:pos="93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Якимовой Ю.А. (очно) - представителя ГКУ РК «ЦООиПТ» по доверенности от 01.02.2024 № 12;</w:t>
      </w:r>
    </w:p>
    <w:p>
      <w:pPr>
        <w:pStyle w:val="Style14"/>
        <w:keepNext w:val="0"/>
        <w:keepLines w:val="0"/>
        <w:widowControl w:val="0"/>
        <w:numPr>
          <w:ilvl w:val="0"/>
          <w:numId w:val="1"/>
        </w:numPr>
        <w:shd w:val="clear" w:color="auto" w:fill="auto"/>
        <w:tabs>
          <w:tab w:pos="943" w:val="left"/>
        </w:tabs>
        <w:bidi w:val="0"/>
        <w:spacing w:before="0" w:after="260" w:line="240" w:lineRule="auto"/>
        <w:ind w:left="0" w:right="0" w:firstLine="740"/>
        <w:jc w:val="both"/>
      </w:pPr>
      <w:r>
        <w:rPr>
          <w:color w:val="000000"/>
          <w:spacing w:val="0"/>
          <w:w w:val="100"/>
          <w:position w:val="0"/>
          <w:shd w:val="clear" w:color="auto" w:fill="auto"/>
          <w:lang w:val="ru-RU" w:eastAsia="ru-RU" w:bidi="ru-RU"/>
        </w:rPr>
        <w:t>Вилижанинова А.П. (очно) - представителя Министерства здравоохранения Республики Коми (далее - Минздрав РК) по доверенности от 21.03.2024 № 22/01-13,</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«ЮУРЦС» на действия аукционной комиссии уполномоченного учреждения - ГКУ РК «ЦООиПТ» при проведении закупки путем проведения электронного аукциона «Поставка электрокардиографов в рамках проекта «Модернизация первичного звена здравоохранения» в 2025 году (№)», извещение № 0307200030624002141 (далее - закупка, электронный аукцион).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связи с чем, принята Коми УФАС России к рассмотрению.</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«ЮУРЦС», ГКУ РК «ЦООиПТ», Минздрав РК, общество с ограниченной ответственностью «РТС-Тендер» (далее - оператор электронной площадки) надлежащим образом о времени и месте рассмотрения жалобы извещены посредством электронной почты.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ГКУ РК «ЦООиПТ» письмом от 17.10.2024 № 09-02/59 (вх. от 17.10.2024 № 9963/24) представлен отзыв на жалобу и документы, необходимые для рассмотрения жалобы.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Минздравом РК отзыв на жалобу и документы, необходимые для рассмотрения жалобы не представлены.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части 2 статьи 106 Закона о контрактной системе лица, имеющие право </w:t>
      </w:r>
      <w:r>
        <w:rPr>
          <w:color w:val="000000"/>
          <w:spacing w:val="0"/>
          <w:w w:val="100"/>
          <w:position w:val="0"/>
          <w:shd w:val="clear" w:color="auto" w:fill="auto"/>
          <w:lang w:val="ru-RU" w:eastAsia="ru-RU" w:bidi="ru-RU"/>
        </w:rPr>
        <w:t>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w:t>
        <w:softHyphen/>
        <w:t>конференц-связи при наличии в контрольном органе в сфере закупок технической возможности осуществления видео-конференц-связи.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«ЮУРЦС» письмом от 16.10.2024 № 632 (вх. от 16.10.2024 № 9921-ЭП/24) заявлено ходатайство об участии в рассмотрении жалобы в дистанционном режиме, с использованием видео-конференц-связи, посредством системы Тгие СопГ.</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связи с наличием технической возможности, ходатайство ООО «ЮУРЦС» удовлетворено письмом Коми УФАС России от 16.10.2024 № ОД/5896/24 и жалоба рассмотрена в формате веб-конференции посредством системы Тгие СопГ.</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«ЮУРЦС» обжалованы действия аукционной комиссии уполномоченного учреждения - ГКУ РК «ЦООиПТ» в части признания победителем закупки, участника (общество с ограниченной ответственностью «Росинка»), представившего в заявке недостоверную информацию о характеристиках предлагаемого к поставке товара.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Обществом с ограниченной ответственностью «Росинка» (далее - ООО «Росинка») предложен поставке электрокардиограф с характеристикой «Количество синхронно регистрируемых каналов, максимальное - 12».</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считает, что участник закупки, предложивший к поставке электрокардиограф 3-6 канальный ЭКЗТЦ-3/6-04 «АКСИОН» с микропроцессорным управлением и автоматической обработкой ЭКГ по ТУ 9441-112-43674401-2004 в рамках РУ № ФСР 2008/01874 от 22.12.2024, не соответствует описанию объекта закупки, так как имеет количество каналов (отведений) 3, 6.</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Коми УФАС России в ходе рассмотрения жалобы, проведения внеплановой проверки осуществления закупки в соответствии с пунктом 1 части 15 статьи 99 Закона о контрактной системе, изучив представленные материалы, заслушав представителей сторон, пришла к нижеследующим выводам.</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Заказчиком осуществления закупки путем проведения электронного аукциона явилось Минздрав РК, уполномоченным учреждением - ГКУ РК «ЦООиПТ».</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 закупки - «Поставка электрокардиографов в рамках проекта «Модернизация первичного звена здравоохранения» в 2025 году (№)».</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составила 7 986 600,00 руб.</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о проведении закупки размещено на официальном сайте Единой информационной системы в сфере закупок \\\\\\. /акиркгдоу.ги (далее - ЕИС) - 27.09.2024.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и время окончания срока подачи заявок - 09.10.2024 07:00.</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- 09.10.2024.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подведения определения поставщика (подрядчика, исполнителя) - 11.10.2024.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8.3 части 1 статьи 3 Закона о контрактной системе контракт на поставку товаров, необходимых для нормального жизнеобеспечения граждан, - контракт, предусматривающий поставку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медицинских изделий, технических средств реабилитации, топлива, отсутствие которых приведет к нарушению нормального жизнеобеспечения граждан.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части 9 статьи 37 Закона о контрактной системе если конкурс или аукцион </w:t>
      </w:r>
      <w:r>
        <w:rPr>
          <w:color w:val="000000"/>
          <w:spacing w:val="0"/>
          <w:w w:val="100"/>
          <w:position w:val="0"/>
          <w:shd w:val="clear" w:color="auto" w:fill="auto"/>
          <w:lang w:val="ru-RU" w:eastAsia="ru-RU" w:bidi="ru-RU"/>
        </w:rPr>
        <w:t>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Извещением об осуществлении закупки установлено, что предметом контракта является поставка товара, необходимого для нормального жизнеобеспечения в случаях, указанных в части 9 статьи 37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В силу статьи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12 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Одним из конкурентных способов определения поставщиков (подрядчиков, исполнителей) является, согласно части 2 статьи 24 Закона о контрактной системе, в том числе аукцион в электронной форме.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4"/>
        <w:keepNext w:val="0"/>
        <w:keepLines w:val="0"/>
        <w:widowControl w:val="0"/>
        <w:shd w:val="clear" w:color="auto" w:fill="auto"/>
        <w:tabs>
          <w:tab w:pos="908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Извещением о проведении электронного аукциона для закупки № 0307200030624002141 установлены ограничения допуска отдельных видов радиоэлектронной продукции, происходящих из иностранных государств в соответствии с Постановлением Правительства Российской Федерации от 10.07.2019</w:t>
        <w:tab/>
        <w:t xml:space="preserve">№ 878 </w:t>
      </w:r>
      <w:r>
        <w:rPr>
          <w:color w:val="000000"/>
          <w:spacing w:val="0"/>
          <w:w w:val="100"/>
          <w:position w:val="0"/>
          <w:sz w:val="24"/>
          <w:szCs w:val="24"/>
          <w:shd w:val="clear" w:color="auto" w:fill="auto"/>
          <w:lang w:val="ru-RU" w:eastAsia="ru-RU" w:bidi="ru-RU"/>
        </w:rPr>
        <w:t>«</w:t>
      </w:r>
      <w:r>
        <w:rPr>
          <w:color w:val="000000"/>
          <w:spacing w:val="0"/>
          <w:w w:val="100"/>
          <w:position w:val="0"/>
          <w:shd w:val="clear" w:color="auto" w:fill="auto"/>
          <w:lang w:val="ru-RU" w:eastAsia="ru-RU" w:bidi="ru-RU"/>
        </w:rPr>
        <w:t>О</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Правительства РФ от 10.07.2019 № 878).</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Пунктом 3 Постановления Правительства РФ от 10.07.2019 № 878 установлено,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w:t>
      </w:r>
      <w:r>
        <w:rPr>
          <w:color w:val="000000"/>
          <w:spacing w:val="0"/>
          <w:w w:val="100"/>
          <w:position w:val="0"/>
          <w:shd w:val="clear" w:color="auto" w:fill="auto"/>
          <w:lang w:val="ru-RU" w:eastAsia="ru-RU" w:bidi="ru-RU"/>
        </w:rPr>
        <w:t>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3(2) Постановления Правительства РФ от 10.07.2019 № 878 установлено, что за исключением случаев, установленных настоящим постановлением: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3(3) Постановления Правительства РФ от 10.07.2019 № 878 установлено,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осуществлена закупка электрокардиографа, указанный товар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(позиция 100)</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в закупке правомерно установлено ограничение допуска отдельных видов промышленных товаров, происходящих из иностранных государств в соответствии с Постановлением Правительства РФ от 30.04.2020 № 617.</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9 раздела III приложения к извещению о проведении электронного аукциона «Требования к содержанию, составу заявки на участие в электронном аукцион и инструкция по ее заполнению» (далее - Требования) заявка на участие в закупке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Участник закупки в соответствии с постановлением Правительства Российской Федерации от 10.07.2019 № 878 указывает (декларирует) в составе заявки на участие в закупке:</w:t>
      </w:r>
    </w:p>
    <w:p>
      <w:pPr>
        <w:pStyle w:val="Style14"/>
        <w:keepNext w:val="0"/>
        <w:keepLines w:val="0"/>
        <w:widowControl w:val="0"/>
        <w:numPr>
          <w:ilvl w:val="0"/>
          <w:numId w:val="3"/>
        </w:numPr>
        <w:shd w:val="clear" w:color="auto" w:fill="auto"/>
        <w:tabs>
          <w:tab w:pos="97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реестровой записи из единого реестра российской радиоэлектронной продукции;</w:t>
      </w:r>
    </w:p>
    <w:p>
      <w:pPr>
        <w:pStyle w:val="Style14"/>
        <w:keepNext w:val="0"/>
        <w:keepLines w:val="0"/>
        <w:widowControl w:val="0"/>
        <w:numPr>
          <w:ilvl w:val="0"/>
          <w:numId w:val="3"/>
        </w:numPr>
        <w:shd w:val="clear" w:color="auto" w:fill="auto"/>
        <w:tabs>
          <w:tab w:pos="97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реестровой записи из евразийского реестра промышленных товаров государств - членов Евразийского экономического союза.</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2.1. </w:t>
      </w:r>
      <w:r>
        <w:rPr>
          <w:color w:val="000000"/>
          <w:spacing w:val="0"/>
          <w:w w:val="100"/>
          <w:position w:val="0"/>
          <w:shd w:val="clear" w:color="auto" w:fill="auto"/>
          <w:lang w:val="ru-RU" w:eastAsia="ru-RU" w:bidi="ru-RU"/>
        </w:rPr>
        <w:t>Согласно частям 1, 2, 4 Федерального закона от 21.11.2011 № 323-ФЗ «Об основах охраны здоровья граждан в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Правила государственной регистрации медицинских изделий утверждены Постановлением Правительства Российской Федерации 27.12.2012 № 1416 «Об утверждении Правил государственной регистрации медицинских изделий» (далее - Правила).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пунктам 1, 2, 6, Правил настоящие Правила устанавливают порядок государственной регистрации медицинских изделий, подлежащих обращению на территории Российской Федерации.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Регистрационное удостоверение выдается бессрочно.</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подпункту «г» пункта 10 Правил для государственной регистрации медицинского изделия (за исключением медицинских изделий, включенных в перечень) представляются следующие документы: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4 Правил под регистрационным досье понимается - комплект документов, представляемых для государственной регистрации, внесения изменений в такие документы, а также копии решений, принятых регистрирующим органом в отношении конкретного медицинского изделия.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Под эксплуатационной документацией производителя (изготовителя) понимаются документы, предназначенные для ознакомления потребителя с конструкцией медицинского изделия, регламентирующие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электронный образ эксплуатационной документации производителя (изготовителя) на медицинское изделие согласно подпункту «н» пункта 6 Правил ведения реестра государственной регистрации медицинских изделий и организаций (индивидуальных предпринимателей), осуществляющих производство и изготовление медицинских изделий, утвержденных Постановлением Правительства Российской Федерации от 30.09.2021 № 1650, размещается в реестре медицинских изделий на официальном сайте Федеральной службы по надзору в сфере здравоохранения (далее - Росздравнадзор).</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Исходя из вышеизложенного, руководство по эксплуатации медицинского изделия и инструкция по применению медицинского изделия входят в состав регистрационного досье и представляются в числе обязательных документов при регистрации медицинского изделия.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пункта 58 Правил Регистрирующий орган размещает информацию, связанную с осуществлением государственной регистрации медицинского изделия, внесением изменений в документы, содержащиеся в регистрационном досье, и выдачей дубликата регистрационного удостоверения, на своем официальном сайте в информационно-телекоммуникационной сети «Интернет».</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8 Требований заказчиком установлено требование о предоставлении в составе заявки на участие в закупке документов, подтверждающих соответствие товара, работы или услуги требованиям, установленным в соответствии с законодательством Российской Федерации: требуется представление копии действующего регистрационного удостоверения на медицинское изделие, требуемое в рамках данной закупки, либо информации о реквизитах такого регистрационного удостоверения с указанием номера и даты его выдачи.</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ru-RU" w:eastAsia="ru-RU" w:bidi="ru-RU"/>
        </w:rPr>
        <w:t>Согласно подпунктам «а», «в» пункта 2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w:t>
      </w:r>
      <w:r>
        <w:rPr>
          <w:color w:val="000000"/>
          <w:spacing w:val="0"/>
          <w:w w:val="100"/>
          <w:position w:val="0"/>
          <w:shd w:val="clear" w:color="auto" w:fill="auto"/>
          <w:lang w:val="ru-RU" w:eastAsia="ru-RU" w:bidi="ru-RU"/>
        </w:rPr>
        <w:t>объекта закупки в соответствии с частью 2 статьи 33 настоящего Федерального закона, товарный знак (при наличии у товара товарного знака);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 части 1, части 2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4"/>
        <w:keepNext w:val="0"/>
        <w:keepLines w:val="0"/>
        <w:widowControl w:val="0"/>
        <w:numPr>
          <w:ilvl w:val="0"/>
          <w:numId w:val="5"/>
        </w:numPr>
        <w:shd w:val="clear" w:color="auto" w:fill="auto"/>
        <w:tabs>
          <w:tab w:pos="105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4"/>
        <w:keepNext w:val="0"/>
        <w:keepLines w:val="0"/>
        <w:widowControl w:val="0"/>
        <w:numPr>
          <w:ilvl w:val="0"/>
          <w:numId w:val="5"/>
        </w:numPr>
        <w:shd w:val="clear" w:color="auto" w:fill="auto"/>
        <w:tabs>
          <w:tab w:pos="105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4"/>
        <w:keepNext w:val="0"/>
        <w:keepLines w:val="0"/>
        <w:widowControl w:val="0"/>
        <w:numPr>
          <w:ilvl w:val="0"/>
          <w:numId w:val="5"/>
        </w:numPr>
        <w:shd w:val="clear" w:color="auto" w:fill="auto"/>
        <w:tabs>
          <w:tab w:pos="104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numPr>
          <w:ilvl w:val="0"/>
          <w:numId w:val="5"/>
        </w:numPr>
        <w:shd w:val="clear" w:color="auto" w:fill="auto"/>
        <w:tabs>
          <w:tab w:pos="103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23"/>
        <w:keepNext/>
        <w:keepLines/>
        <w:widowControl w:val="0"/>
        <w:shd w:val="clear" w:color="auto" w:fill="auto"/>
        <w:bidi w:val="0"/>
        <w:spacing w:before="0" w:after="0" w:line="240" w:lineRule="auto"/>
        <w:ind w:left="0" w:right="0"/>
        <w:jc w:val="both"/>
      </w:pPr>
      <w:bookmarkStart w:id="2" w:name="bookmark2"/>
      <w:r>
        <w:rPr>
          <w:color w:val="000000"/>
          <w:spacing w:val="0"/>
          <w:w w:val="100"/>
          <w:position w:val="0"/>
          <w:shd w:val="clear" w:color="auto" w:fill="auto"/>
          <w:lang w:val="ru-RU" w:eastAsia="ru-RU" w:bidi="ru-RU"/>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bookmarkEnd w:id="2"/>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подпункта «в» пункта 2 части 1 статьи 43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3.1. </w:t>
      </w:r>
      <w:r>
        <w:rPr>
          <w:color w:val="000000"/>
          <w:spacing w:val="0"/>
          <w:w w:val="100"/>
          <w:position w:val="0"/>
          <w:shd w:val="clear" w:color="auto" w:fill="auto"/>
          <w:lang w:val="ru-RU" w:eastAsia="ru-RU" w:bidi="ru-RU"/>
        </w:rPr>
        <w:t>Порядок проведения электронного аукциона регламентирован статьей 49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подпункту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w:t>
      </w:r>
      <w:r>
        <w:rPr>
          <w:color w:val="000000"/>
          <w:spacing w:val="0"/>
          <w:w w:val="100"/>
          <w:position w:val="0"/>
          <w:shd w:val="clear" w:color="auto" w:fill="auto"/>
          <w:lang w:val="ru-RU" w:eastAsia="ru-RU" w:bidi="ru-RU"/>
        </w:rPr>
        <w:t>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23"/>
        <w:keepNext/>
        <w:keepLines/>
        <w:widowControl w:val="0"/>
        <w:shd w:val="clear" w:color="auto" w:fill="auto"/>
        <w:bidi w:val="0"/>
        <w:spacing w:before="0" w:after="0" w:line="240" w:lineRule="auto"/>
        <w:ind w:left="0" w:right="0" w:firstLine="720"/>
        <w:jc w:val="both"/>
      </w:pPr>
      <w:bookmarkStart w:id="7" w:name="bookmark7"/>
      <w:r>
        <w:rPr>
          <w:color w:val="000000"/>
          <w:spacing w:val="0"/>
          <w:w w:val="100"/>
          <w:position w:val="0"/>
          <w:shd w:val="clear" w:color="auto" w:fill="auto"/>
          <w:lang w:val="ru-RU" w:eastAsia="ru-RU" w:bidi="ru-RU"/>
        </w:rPr>
        <w:t>Частью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bookmarkEnd w:id="7"/>
    </w:p>
    <w:p>
      <w:pPr>
        <w:pStyle w:val="Style14"/>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4"/>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4"/>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4"/>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4"/>
        <w:keepNext w:val="0"/>
        <w:keepLines w:val="0"/>
        <w:widowControl w:val="0"/>
        <w:numPr>
          <w:ilvl w:val="0"/>
          <w:numId w:val="7"/>
        </w:numPr>
        <w:shd w:val="clear" w:color="auto" w:fill="auto"/>
        <w:tabs>
          <w:tab w:pos="18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4"/>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4"/>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w:t>
      </w:r>
      <w:r>
        <w:rPr>
          <w:color w:val="000000"/>
          <w:spacing w:val="0"/>
          <w:w w:val="100"/>
          <w:position w:val="0"/>
          <w:shd w:val="clear" w:color="auto" w:fill="auto"/>
          <w:lang w:val="ru-RU" w:eastAsia="ru-RU" w:bidi="ru-RU"/>
        </w:rPr>
        <w:t>исполнителя) № 0307200030624002141 от 10.10.2024 на участие в закупке было подано 3 заявки.</w:t>
      </w:r>
    </w:p>
    <w:p>
      <w:pPr>
        <w:pStyle w:val="Style23"/>
        <w:keepNext/>
        <w:keepLines/>
        <w:widowControl w:val="0"/>
        <w:shd w:val="clear" w:color="auto" w:fill="auto"/>
        <w:bidi w:val="0"/>
        <w:spacing w:before="0" w:after="0" w:line="240" w:lineRule="auto"/>
        <w:ind w:left="0" w:right="0"/>
        <w:jc w:val="both"/>
      </w:pPr>
      <w:bookmarkStart w:id="10" w:name="bookmark10"/>
      <w:r>
        <w:rPr>
          <w:color w:val="000000"/>
          <w:spacing w:val="0"/>
          <w:w w:val="100"/>
          <w:position w:val="0"/>
          <w:shd w:val="clear" w:color="auto" w:fill="auto"/>
          <w:lang w:val="ru-RU" w:eastAsia="ru-RU" w:bidi="ru-RU"/>
        </w:rPr>
        <w:t>Проанализировав заявки участников закупки, представленные оператором электронной площадки во исполнение запроса Коми УФАС России от 15.10.2024 № ОД/5865/24, Комиссия Коми УФАС России установила следующее.</w:t>
      </w:r>
      <w:bookmarkEnd w:id="10"/>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Заявка с идентификационным номером 117370036 (ООО «ЮУРЦС») была отклонена аукционной комиссией уполномоченного учреждения на основании пункта 4 части 12 статьи 48 Закона о контрактной системе, так как участником закупки представлена реестровая запись из реестра радиоэлектронной продукции № РЭ-3365/21 от 22.11.2021 на товар «Электрокардиограф 3-6-12 канальный с регистрацией ЭКГ в ручном и автоматических режимах ЭК12Т-01-«Р-Д», срок действия которой по информации с официального сайта Минпромторга России истек 31.03.2023).</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по совокупности характеристик, заявка ООО «ЮУРЦС» соответствовала требованиям Закона о контрактной системе и извещению об осуществлении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заявках участников ООО «Росинка» и общества с ограниченной ответственностью «АРВЭЛЬ» (далее - ООО «АРВЭЛЬ») к поставке предложено медицинское изделие «Электрокардиограф 3-6 канальный ЭКЗТЦ-3/6-04 «АКСИОН» с микропроцессорным управлением и автоматической обработкой ЭКГ по ТУ 9441-112-43674401-2004, производителя общества с ограниченной ответственностью Концерн «АКСИОН», страна происхождения: Российская Федерация.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составе заявок двух участников закупки было приложено регистрационное удостоверение на медицинское изделие «Электрокардиограф 3-6 канальный ЭКЗТЦ-3-6-04 «АКСИОН» с микропроцессорным управлением и автоматической обработкой ЭКГ по ТУ 9441-112-43674401-2004» № ФСР 2008/01874 от 22.12.2014.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отношении характеристики «Количество синхронно регистрируемых каналов, максимальное» участниками закупки указано значение - 12.</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заявки ООО «Росинка» и ООО «АРВЭЛЬ» следует, что характеристики товара, предлагаемые участниками закупки, полностью соответствуют характеристикам, указанным в описании объекта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вышеуказанного, заявки ООО «Росинка» и ООО «АРВЭЛЬ» содержали выписку из реестра российской промышленной продукции с номером реестровой записи 10441662 со сроком действия до 11.06.2026, подтверждающий страну происхождения, указанную в заявке, а именно товар российского происхождения.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Доводы ООО «ЮУРЦС» сводятся к тому, что победителем закупки - ООО «Росинка» в составе заявке указана недостоверная информация относительно предложенного к поставке электрокардиографа, который по мнению заявителя, не содержит 12 синхронно регистрируемых каналов.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Недостоверная информация - это информация, не соответствующая действительности.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рамках законодательства Российской Федерации о контрактной системе в сфере закупок недостоверной информацией является подача участником закупки заявки на участие в закупке с предложением о поставке требуемого в рамках данной закупки товара, характеристики которого, судя по информации указанной в заявке, полностью соответствуют характеристикам, указанным в извещении об осуществлении закупки, но такая информация может являться не соответствующей действительности, поскольку комиссией могут быть обнаружены документы, подтверждающие недостоверность </w:t>
      </w:r>
      <w:r>
        <w:rPr>
          <w:color w:val="000000"/>
          <w:spacing w:val="0"/>
          <w:w w:val="100"/>
          <w:position w:val="0"/>
          <w:shd w:val="clear" w:color="auto" w:fill="auto"/>
          <w:lang w:val="ru-RU" w:eastAsia="ru-RU" w:bidi="ru-RU"/>
        </w:rPr>
        <w:t>информации, представленной участником.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требований Закона о контрактной системе, аукционная комиссия анализирует заявки исключительно на соответствие требования, установленным в извещении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законодатель не ограничивает закупочные комиссии в праве проверять информацию, включенную в заявки участников на предмет достоверности, в том числе обращаясь к каким-либо реестрам, запрашивая письма у производителей предлагаемого к поставке товара или имеющегося у заказчика.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требованиями гражданского законодательства Российской Федерации, Закона о контрактной системе, ответственность за достоверность документов и информации, предоставляемых участником закупки, несет участник электронного аукциона, предоставивший указанные документ и информацию, в связи с чем добросовестность и разумность его действий предполагаются.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реестровой записи № 7764 регистрационного удостоверения № ФСР 2008/01874 от 22.12.2024 на медицинское изделие «Электрокардиограф 3-6 канальный ЭКЗТЦ-3/6-04 «АКСИОН» с микропроцессорным управлением и автоматической обработкой ЭКГ по ТУ 9441-112-43674401-2004», размещенном на официальном сайте Росздравнадзора в информационно-телекоммуникационной сети «Интернет» содержится «Руководство по эксплуатации ЮМГИ.941311.024 РЭ».</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ГОСТу Р МЭК 60601-2-25-2016 Национальный стандарт Российской Федерации. Изделия медицинские электрические. Часть 2-25. Частные требования безопасности с учетом основных функциональных характеристик к электрокардиографам» каналом является электрокардиографическое отведение, выбираемое аппаратно- и/или программно для отображения, регистрации или передачи сигнала.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руководству по эксплуатации ЮМГИ.941311.024 РЭ, предлагаемый к поставке товар имеет синхронную регистрацию ЭКГ-сигнала по 12 каналам отведений.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Из руководства по эксплуатации ЮМГИ.941311.024 РЭ следует, то электрокардиограф обеспечивает регистрацию отведений в режимах работы в автоматическом режиме в стандартной последовательности </w:t>
      </w:r>
      <w:r>
        <w:rPr>
          <w:i/>
          <w:iCs/>
          <w:color w:val="000000"/>
          <w:spacing w:val="0"/>
          <w:w w:val="100"/>
          <w:position w:val="0"/>
          <w:shd w:val="clear" w:color="auto" w:fill="auto"/>
          <w:lang w:val="ru-RU" w:eastAsia="ru-RU" w:bidi="ru-RU"/>
        </w:rPr>
        <w:t>синхронно по 12 каналам отведений и</w:t>
      </w:r>
      <w:r>
        <w:rPr>
          <w:color w:val="000000"/>
          <w:spacing w:val="0"/>
          <w:w w:val="100"/>
          <w:position w:val="0"/>
          <w:shd w:val="clear" w:color="auto" w:fill="auto"/>
          <w:lang w:val="ru-RU" w:eastAsia="ru-RU" w:bidi="ru-RU"/>
        </w:rPr>
        <w:t xml:space="preserve"> предполагает печать 12 отведений в режиме мониторинга.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предложенный ООО «Росинка» и ООО «АРВЭЛЬ» к поставке электрокардиограф, обеспечивает регистрацию групп отведений синхронно по 12 каналам отведений, что соответствует описанию объекта закупки, в том числе по характеристике «Количество синхронно регулируемых каналов, максимальное - 12 шт.»</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из представленных документов и сведений не следует, что в заявке ООО «Росинка» представлена недостоверная информация относительно соответствия предлагаемого к поставке электрокардиографа требованиям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Иных доказательств несоответствия предлагаемого к поставке электрокардиографа требованиям извещения об осуществлении закупки ООО «ЮУРЦС» в материалы жалобы не представлено.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Таким образом, представленные победителем закупки информация и документы в полном объеме соответствовали требованиям извещения о проведении электронного аукциона, что позволило аукционной комиссии уполномоченного учреждения - ГКУ РК «ЦООиПТ» признать заявки ООО «Росинка» и ООО «АРВЭЛЬ» соответствующими извещению об осуществлении закупки, а ООО «Росинка» с учетом протокола подачи </w:t>
      </w:r>
      <w:r>
        <w:rPr>
          <w:color w:val="000000"/>
          <w:spacing w:val="0"/>
          <w:w w:val="100"/>
          <w:position w:val="0"/>
          <w:shd w:val="clear" w:color="auto" w:fill="auto"/>
          <w:lang w:val="ru-RU" w:eastAsia="ru-RU" w:bidi="ru-RU"/>
        </w:rPr>
        <w:t>ценовых предложений победителем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принципа обеспечения конкуренции, продекларированного в статье 8 Закона о контрактной системе, действия аукционной комиссии уполномоченного учреждения - ГКУ РК «ЦООиПТ» при рассмотрении заявок ООО «ЮУРЦС», ООО «Росинка» и ООО «АРВЭЛЬ» не противоречат законодательству Российской Федерации о контрактной системе в сфере закупок.</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4. </w:t>
      </w:r>
      <w:r>
        <w:rPr>
          <w:color w:val="000000"/>
          <w:spacing w:val="0"/>
          <w:w w:val="100"/>
          <w:position w:val="0"/>
          <w:shd w:val="clear" w:color="auto" w:fill="auto"/>
          <w:lang w:val="ru-RU" w:eastAsia="ru-RU" w:bidi="ru-RU"/>
        </w:rPr>
        <w:t>В силу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w:t>
      </w:r>
      <w:r>
        <w:rPr>
          <w:i/>
          <w:iCs/>
          <w:color w:val="000000"/>
          <w:spacing w:val="0"/>
          <w:w w:val="100"/>
          <w:position w:val="0"/>
          <w:shd w:val="clear" w:color="auto" w:fill="auto"/>
          <w:lang w:val="ru-RU" w:eastAsia="ru-RU" w:bidi="ru-RU"/>
        </w:rPr>
        <w:t>а также в результате рассмотрения жалобы на действия (бездействие) заказчика,</w:t>
      </w:r>
      <w:r>
        <w:rPr>
          <w:color w:val="000000"/>
          <w:spacing w:val="0"/>
          <w:w w:val="100"/>
          <w:position w:val="0"/>
          <w:shd w:val="clear" w:color="auto" w:fill="auto"/>
          <w:lang w:val="ru-RU" w:eastAsia="ru-RU" w:bidi="ru-RU"/>
        </w:rPr>
        <w:t xml:space="preserve">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данной жалобе предписание выдаче не подлежит, так как нарушения в действиях аукционной комиссии уполномоченного учреждения - ГКУ РК «ЦООиПТ» не подтверждены.</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5. </w:t>
      </w:r>
      <w:r>
        <w:rPr>
          <w:color w:val="000000"/>
          <w:spacing w:val="0"/>
          <w:w w:val="100"/>
          <w:position w:val="0"/>
          <w:shd w:val="clear" w:color="auto" w:fill="auto"/>
          <w:lang w:val="ru-RU" w:eastAsia="ru-RU" w:bidi="ru-RU"/>
        </w:rPr>
        <w:t>Доводы заявителя, указанные в жалобе, наряду с прочим, сводятся к тому нарушению принципа конкуренции и состязательности при проведении процедуры торгов, что нарушает требования, установленные статьями 15, 16, 17 Федерального закона от 26.07.2006 № 135-ФЗ «О защите конкуренции».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Доводы жалобы о нарушении аукционной комиссией уполномоченного учреждения - ГКУ РК «ЦООиПТ»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от 26.07.2006 № 135-ФЗ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доводы жалобы, касающиеся возможных нарушений антимонопольного законодательства, подлежат рассмотрению в Коми УФАС России в порядке и сроки, предусмотренные статьей 44 Федерального закона от 26.07.2006 № 135-ФЗ «О защите конкуренции».</w:t>
      </w:r>
    </w:p>
    <w:p>
      <w:pPr>
        <w:pStyle w:val="Style14"/>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4"/>
        <w:keepNext w:val="0"/>
        <w:keepLines w:val="0"/>
        <w:widowControl w:val="0"/>
        <w:numPr>
          <w:ilvl w:val="0"/>
          <w:numId w:val="9"/>
        </w:numPr>
        <w:shd w:val="clear" w:color="auto" w:fill="auto"/>
        <w:tabs>
          <w:tab w:pos="103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ООО «ЮУРЦС» необоснованной.</w:t>
      </w:r>
    </w:p>
    <w:p>
      <w:pPr>
        <w:pStyle w:val="Style14"/>
        <w:keepNext w:val="0"/>
        <w:keepLines w:val="0"/>
        <w:widowControl w:val="0"/>
        <w:numPr>
          <w:ilvl w:val="0"/>
          <w:numId w:val="9"/>
        </w:numPr>
        <w:shd w:val="clear" w:color="auto" w:fill="auto"/>
        <w:tabs>
          <w:tab w:pos="31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По результатам рассмотрения жалобы в действиях аукционной комиссии</w:t>
        <w:br w:type="page"/>
      </w:r>
      <w:r>
        <w:rPr>
          <w:color w:val="000000"/>
          <w:spacing w:val="0"/>
          <w:w w:val="100"/>
          <w:position w:val="0"/>
          <w:shd w:val="clear" w:color="auto" w:fill="auto"/>
          <w:lang w:val="ru-RU" w:eastAsia="ru-RU" w:bidi="ru-RU"/>
        </w:rPr>
        <w:t>уполномоченного учреждения - ГКУ РК «ЦООиПТ» нарушения законодательства Российской Федерации о контрактной системе в сфере закупок при рассмотрении заявок ООО «ЮУРЦС», ООО «Росинка», ООО «АРВЭЛЬ» не подтверждены.</w:t>
      </w:r>
    </w:p>
    <w:p>
      <w:pPr>
        <w:pStyle w:val="Style14"/>
        <w:keepNext w:val="0"/>
        <w:keepLines w:val="0"/>
        <w:widowControl w:val="0"/>
        <w:numPr>
          <w:ilvl w:val="0"/>
          <w:numId w:val="9"/>
        </w:numPr>
        <w:shd w:val="clear" w:color="auto" w:fill="auto"/>
        <w:tabs>
          <w:tab w:pos="114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того, что нарушения в действиях аукционной комиссии уполномоченного учреждения - ГКУ РК «ЦООиПТ» при рассмотрении заявок ООО «ЮУРЦС», ООО «Росинка», ООО «АРВЭЛЬ» не подтверждены, предписание не выдавать.</w:t>
      </w:r>
    </w:p>
    <w:p>
      <w:pPr>
        <w:pStyle w:val="Style14"/>
        <w:keepNext w:val="0"/>
        <w:keepLines w:val="0"/>
        <w:widowControl w:val="0"/>
        <w:numPr>
          <w:ilvl w:val="0"/>
          <w:numId w:val="9"/>
        </w:numPr>
        <w:shd w:val="clear" w:color="auto" w:fill="auto"/>
        <w:tabs>
          <w:tab w:pos="1140" w:val="left"/>
        </w:tabs>
        <w:bidi w:val="0"/>
        <w:spacing w:before="0" w:after="260" w:line="240" w:lineRule="auto"/>
        <w:ind w:left="0" w:right="0" w:firstLine="740"/>
        <w:jc w:val="both"/>
      </w:pPr>
      <w:r>
        <w:rPr>
          <w:color w:val="000000"/>
          <w:spacing w:val="0"/>
          <w:w w:val="100"/>
          <w:position w:val="0"/>
          <w:shd w:val="clear" w:color="auto" w:fill="auto"/>
          <w:lang w:val="ru-RU" w:eastAsia="ru-RU" w:bidi="ru-RU"/>
        </w:rPr>
        <w:t>Передать копию жалобы уполномоченному должностному лицу Коми УФАС России для рассмотрения в части доводов о нарушении заказчиком антимонопольного законодательства в соответствии с порядком, предусмотренным Федеральным законом от 26.07.2006 № 135-ФЗ «О защите конкуренции».</w:t>
      </w:r>
    </w:p>
    <w:p>
      <w:pPr>
        <w:pStyle w:val="Style14"/>
        <w:keepNext w:val="0"/>
        <w:keepLines w:val="0"/>
        <w:widowControl w:val="0"/>
        <w:shd w:val="clear" w:color="auto" w:fill="auto"/>
        <w:bidi w:val="0"/>
        <w:spacing w:before="0" w:after="1240" w:line="240" w:lineRule="auto"/>
        <w:ind w:left="0" w:right="0" w:firstLine="740"/>
        <w:jc w:val="both"/>
      </w:pPr>
      <w:r>
        <w:drawing>
          <wp:anchor distT="60960" distB="0" distL="2000885" distR="1903730" simplePos="0" relativeHeight="125829384" behindDoc="0" locked="0" layoutInCell="1" allowOverlap="1">
            <wp:simplePos x="0" y="0"/>
            <wp:positionH relativeFrom="page">
              <wp:posOffset>2626360</wp:posOffset>
            </wp:positionH>
            <wp:positionV relativeFrom="paragraph">
              <wp:posOffset>1216660</wp:posOffset>
            </wp:positionV>
            <wp:extent cx="389890" cy="57277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739775</wp:posOffset>
                </wp:positionH>
                <wp:positionV relativeFrom="paragraph">
                  <wp:posOffset>1155700</wp:posOffset>
                </wp:positionV>
                <wp:extent cx="1828800" cy="247015"/>
                <wp:wrapNone/>
                <wp:docPr id="17" name="Shape 17"/>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lIns="0" tIns="0" rIns="0" bIns="0">
                        <a:noAutoFit/>
                      </wps:bodyPr>
                    </wps:wsp>
                  </a:graphicData>
                </a:graphic>
              </wp:anchor>
            </w:drawing>
          </mc:Choice>
          <mc:Fallback>
            <w:pict>
              <v:shape id="_x0000_s1043" type="#_x0000_t202" style="position:absolute;margin-left:58.25pt;margin-top:91.pt;width:144.pt;height:19.449999999999999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3122930</wp:posOffset>
                </wp:positionH>
                <wp:positionV relativeFrom="paragraph">
                  <wp:posOffset>1652270</wp:posOffset>
                </wp:positionV>
                <wp:extent cx="1283335" cy="103505"/>
                <wp:wrapNone/>
                <wp:docPr id="19" name="Shape 1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z w:val="12"/>
                                <w:szCs w:val="12"/>
                                <w:shd w:val="clear" w:color="auto" w:fill="auto"/>
                                <w:lang w:val="ru-RU" w:eastAsia="ru-RU" w:bidi="ru-RU"/>
                              </w:rPr>
                              <w:t xml:space="preserve">СВЕДЕНИЯ О </w:t>
                            </w:r>
                            <w:r>
                              <w:rPr>
                                <w:rFonts w:ascii="Arial" w:eastAsia="Arial" w:hAnsi="Arial" w:cs="Arial"/>
                                <w:color w:val="FFFFFF"/>
                                <w:spacing w:val="0"/>
                                <w:w w:val="100"/>
                                <w:position w:val="0"/>
                                <w:sz w:val="12"/>
                                <w:szCs w:val="12"/>
                                <w:shd w:val="clear" w:color="auto" w:fill="auto"/>
                                <w:lang w:val="ru-RU" w:eastAsia="ru-RU" w:bidi="ru-RU"/>
                              </w:rPr>
                              <w:t xml:space="preserve">СЕРТИФИКАТЕ </w:t>
                            </w:r>
                            <w:r>
                              <w:rPr>
                                <w:rFonts w:ascii="Arial" w:eastAsia="Arial" w:hAnsi="Arial" w:cs="Arial"/>
                                <w:color w:val="E8E8E8"/>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45" type="#_x0000_t202" style="position:absolute;margin-left:245.90000000000001pt;margin-top:130.09999999999999pt;width:101.05pt;height:8.15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z w:val="12"/>
                          <w:szCs w:val="12"/>
                          <w:shd w:val="clear" w:color="auto" w:fill="auto"/>
                          <w:lang w:val="ru-RU" w:eastAsia="ru-RU" w:bidi="ru-RU"/>
                        </w:rPr>
                        <w:t xml:space="preserve">СВЕДЕНИЯ О </w:t>
                      </w:r>
                      <w:r>
                        <w:rPr>
                          <w:rFonts w:ascii="Arial" w:eastAsia="Arial" w:hAnsi="Arial" w:cs="Arial"/>
                          <w:color w:val="FFFFFF"/>
                          <w:spacing w:val="0"/>
                          <w:w w:val="100"/>
                          <w:position w:val="0"/>
                          <w:sz w:val="12"/>
                          <w:szCs w:val="12"/>
                          <w:shd w:val="clear" w:color="auto" w:fill="auto"/>
                          <w:lang w:val="ru-RU" w:eastAsia="ru-RU" w:bidi="ru-RU"/>
                        </w:rPr>
                        <w:t xml:space="preserve">СЕРТИФИКАТЕ </w:t>
                      </w:r>
                      <w:r>
                        <w:rPr>
                          <w:rFonts w:ascii="Arial" w:eastAsia="Arial" w:hAnsi="Arial" w:cs="Arial"/>
                          <w:color w:val="E8E8E8"/>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3077210</wp:posOffset>
                </wp:positionH>
                <wp:positionV relativeFrom="paragraph">
                  <wp:posOffset>1341755</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30000000000001pt;margin-top:105.65000000000001pt;width:135.84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4"/>
        <w:keepNext w:val="0"/>
        <w:keepLines w:val="0"/>
        <w:widowControl w:val="0"/>
        <w:shd w:val="clear" w:color="auto" w:fill="auto"/>
        <w:bidi w:val="0"/>
        <w:spacing w:before="0" w:after="34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О.И. Дейберт</w:t>
      </w:r>
    </w:p>
    <w:p>
      <w:pPr>
        <w:pStyle w:val="Style29"/>
        <w:keepNext w:val="0"/>
        <w:keepLines w:val="0"/>
        <w:widowControl w:val="0"/>
        <w:shd w:val="clear" w:color="auto" w:fill="auto"/>
        <w:bidi w:val="0"/>
        <w:spacing w:before="0" w:after="0" w:line="240" w:lineRule="auto"/>
        <w:ind w:right="0" w:firstLine="0"/>
        <w:jc w:val="both"/>
      </w:pPr>
      <w:r>
        <w:rPr>
          <w:color w:val="727272"/>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Дейберт Ольга Ивановна</w:t>
      </w:r>
    </w:p>
    <w:p>
      <w:pPr>
        <w:pStyle w:val="Style29"/>
        <w:keepNext w:val="0"/>
        <w:keepLines w:val="0"/>
        <w:widowControl w:val="0"/>
        <w:shd w:val="clear" w:color="auto" w:fill="auto"/>
        <w:bidi w:val="0"/>
        <w:spacing w:before="0" w:after="0" w:line="240" w:lineRule="auto"/>
        <w:ind w:right="0" w:firstLine="0"/>
        <w:jc w:val="both"/>
      </w:pPr>
      <w:r>
        <w:rPr>
          <w:color w:val="3F3F3F"/>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F3F3F"/>
          <w:spacing w:val="0"/>
          <w:w w:val="100"/>
          <w:position w:val="0"/>
          <w:shd w:val="clear" w:color="auto" w:fill="auto"/>
          <w:lang w:val="ru-RU" w:eastAsia="ru-RU" w:bidi="ru-RU"/>
        </w:rPr>
        <w:t>47ВЕ956094А2653С447Е267327825004</w:t>
      </w:r>
    </w:p>
    <w:p>
      <w:pPr>
        <w:pStyle w:val="Style29"/>
        <w:keepNext w:val="0"/>
        <w:keepLines w:val="0"/>
        <w:widowControl w:val="0"/>
        <w:shd w:val="clear" w:color="auto" w:fill="auto"/>
        <w:bidi w:val="0"/>
        <w:spacing w:before="0" w:after="560" w:line="240" w:lineRule="auto"/>
        <w:ind w:right="0" w:firstLine="0"/>
        <w:jc w:val="both"/>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10.06.2024 по </w:t>
      </w:r>
      <w:r>
        <w:rPr>
          <w:spacing w:val="0"/>
          <w:w w:val="100"/>
          <w:position w:val="0"/>
          <w:shd w:val="clear" w:color="auto" w:fill="auto"/>
          <w:lang w:val="ru-RU" w:eastAsia="ru-RU" w:bidi="ru-RU"/>
        </w:rPr>
        <w:t>03.09.2025</w:t>
      </w:r>
    </w:p>
    <w:p>
      <w:pPr>
        <w:pStyle w:val="Style14"/>
        <w:keepNext w:val="0"/>
        <w:keepLines w:val="0"/>
        <w:widowControl w:val="0"/>
        <w:shd w:val="clear" w:color="auto" w:fill="auto"/>
        <w:bidi w:val="0"/>
        <w:spacing w:before="0" w:after="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pStyle w:val="Style14"/>
        <w:keepNext w:val="0"/>
        <w:keepLines w:val="0"/>
        <w:widowControl w:val="0"/>
        <w:shd w:val="clear" w:color="auto" w:fill="auto"/>
        <w:bidi w:val="0"/>
        <w:spacing w:before="0" w:after="620" w:line="240" w:lineRule="auto"/>
        <w:ind w:left="0" w:right="0" w:firstLine="0"/>
        <w:jc w:val="right"/>
        <w:rPr>
          <w:sz w:val="28"/>
          <w:szCs w:val="28"/>
        </w:rPr>
      </w:pPr>
      <w:r>
        <w:drawing>
          <wp:anchor distT="0" distB="0" distL="114300" distR="1900555" simplePos="0" relativeHeight="125829385" behindDoc="0" locked="0" layoutInCell="1" allowOverlap="1">
            <wp:simplePos x="0" y="0"/>
            <wp:positionH relativeFrom="page">
              <wp:posOffset>2769870</wp:posOffset>
            </wp:positionH>
            <wp:positionV relativeFrom="paragraph">
              <wp:posOffset>50800</wp:posOffset>
            </wp:positionV>
            <wp:extent cx="353695" cy="53657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3227070</wp:posOffset>
                </wp:positionH>
                <wp:positionV relativeFrom="paragraph">
                  <wp:posOffset>450215</wp:posOffset>
                </wp:positionV>
                <wp:extent cx="1280160" cy="103505"/>
                <wp:wrapNone/>
                <wp:docPr id="25" name="Shape 2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54.09999999999999pt;margin-top:35.450000000000003pt;width:100.8pt;height:8.1500000000000004pt;z-index:251657735;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3184525</wp:posOffset>
                </wp:positionH>
                <wp:positionV relativeFrom="paragraph">
                  <wp:posOffset>139065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50.75pt;margin-top:10.950000000000001pt;width:135.59999999999999pt;height:20.150000000000002pt;z-index:25165773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А.А. Мокиенко</w:t>
      </w:r>
    </w:p>
    <w:p>
      <w:pPr>
        <w:pStyle w:val="Style29"/>
        <w:keepNext w:val="0"/>
        <w:keepLines w:val="0"/>
        <w:widowControl w:val="0"/>
        <w:shd w:val="clear" w:color="auto" w:fill="auto"/>
        <w:bidi w:val="0"/>
        <w:spacing w:before="0" w:after="0" w:line="240" w:lineRule="auto"/>
        <w:ind w:left="3280" w:right="0" w:firstLine="0"/>
        <w:jc w:val="both"/>
      </w:pPr>
      <w:r>
        <w:rPr>
          <w:color w:val="727272"/>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Мокиенко Анастасия Александровна</w:t>
      </w:r>
    </w:p>
    <w:p>
      <w:pPr>
        <w:pStyle w:val="Style29"/>
        <w:keepNext w:val="0"/>
        <w:keepLines w:val="0"/>
        <w:widowControl w:val="0"/>
        <w:shd w:val="clear" w:color="auto" w:fill="auto"/>
        <w:bidi w:val="0"/>
        <w:spacing w:before="0" w:after="0" w:line="240" w:lineRule="auto"/>
        <w:ind w:left="3280" w:right="0" w:firstLine="0"/>
        <w:jc w:val="both"/>
      </w:pPr>
      <w:r>
        <w:rPr>
          <w:color w:val="3F3F3F"/>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F3F3F"/>
          <w:spacing w:val="0"/>
          <w:w w:val="100"/>
          <w:position w:val="0"/>
          <w:shd w:val="clear" w:color="auto" w:fill="auto"/>
          <w:lang w:val="ru-RU" w:eastAsia="ru-RU" w:bidi="ru-RU"/>
        </w:rPr>
        <w:t>5740ВО6СЗООО758ЕО5О638ВЕ6САО58С1</w:t>
      </w:r>
    </w:p>
    <w:p>
      <w:pPr>
        <w:pStyle w:val="Style29"/>
        <w:keepNext w:val="0"/>
        <w:keepLines w:val="0"/>
        <w:widowControl w:val="0"/>
        <w:shd w:val="clear" w:color="auto" w:fill="auto"/>
        <w:bidi w:val="0"/>
        <w:spacing w:before="0" w:after="620" w:line="240" w:lineRule="auto"/>
        <w:ind w:left="3280" w:right="0" w:firstLine="0"/>
        <w:jc w:val="both"/>
      </w:pPr>
      <w:r>
        <w:rPr>
          <w:spacing w:val="0"/>
          <w:w w:val="100"/>
          <w:position w:val="0"/>
          <w:shd w:val="clear" w:color="auto" w:fill="auto"/>
          <w:lang w:val="ru-RU" w:eastAsia="ru-RU" w:bidi="ru-RU"/>
        </w:rPr>
        <w:t xml:space="preserve">Действителен </w:t>
      </w:r>
      <w:r>
        <w:rPr>
          <w:color w:val="3F3F3F"/>
          <w:spacing w:val="0"/>
          <w:w w:val="100"/>
          <w:position w:val="0"/>
          <w:shd w:val="clear" w:color="auto" w:fill="auto"/>
          <w:lang w:val="ru-RU" w:eastAsia="ru-RU" w:bidi="ru-RU"/>
        </w:rPr>
        <w:t xml:space="preserve">с </w:t>
      </w:r>
      <w:r>
        <w:rPr>
          <w:color w:val="727272"/>
          <w:spacing w:val="0"/>
          <w:w w:val="100"/>
          <w:position w:val="0"/>
          <w:shd w:val="clear" w:color="auto" w:fill="auto"/>
          <w:lang w:val="ru-RU" w:eastAsia="ru-RU" w:bidi="ru-RU"/>
        </w:rPr>
        <w:t>25.12.2023 по 19.03.2025</w:t>
      </w:r>
    </w:p>
    <w:p>
      <w:pPr>
        <w:pStyle w:val="Style14"/>
        <w:keepNext w:val="0"/>
        <w:keepLines w:val="0"/>
        <w:widowControl w:val="0"/>
        <w:shd w:val="clear" w:color="auto" w:fill="auto"/>
        <w:bidi w:val="0"/>
        <w:spacing w:before="0" w:after="435" w:line="240" w:lineRule="auto"/>
        <w:ind w:left="0" w:right="0" w:firstLine="0"/>
        <w:jc w:val="center"/>
        <w:rPr>
          <w:sz w:val="28"/>
          <w:szCs w:val="28"/>
        </w:rPr>
      </w:pPr>
      <w:r>
        <w:drawing>
          <wp:anchor distT="0" distB="0" distL="114300" distR="1918970" simplePos="0" relativeHeight="125829386" behindDoc="0" locked="0" layoutInCell="1" allowOverlap="1">
            <wp:simplePos x="0" y="0"/>
            <wp:positionH relativeFrom="page">
              <wp:posOffset>2666365</wp:posOffset>
            </wp:positionH>
            <wp:positionV relativeFrom="paragraph">
              <wp:posOffset>114300</wp:posOffset>
            </wp:positionV>
            <wp:extent cx="311150" cy="35941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7"/>
                    <a:stretch/>
                  </pic:blipFill>
                  <pic:spPr>
                    <a:xfrm>
                      <a:ext cx="311150" cy="359410"/>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3059430</wp:posOffset>
                </wp:positionH>
                <wp:positionV relativeFrom="paragraph">
                  <wp:posOffset>184150</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0.90000000000001pt;margin-top:14.5pt;width:135.59999999999999pt;height:20.15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А.Д. Растегаева</w:t>
      </w:r>
    </w:p>
    <w:p>
      <w:pPr>
        <w:pStyle w:val="Style29"/>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pPr>
      <w:r>
        <w:rPr>
          <w:color w:val="E8E8E8"/>
          <w:spacing w:val="0"/>
          <w:w w:val="100"/>
          <w:position w:val="0"/>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both"/>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Растегаева Анна Дмитриевна</w:t>
      </w:r>
    </w:p>
    <w:p>
      <w:pPr>
        <w:pStyle w:val="Style29"/>
        <w:keepNext w:val="0"/>
        <w:keepLines w:val="0"/>
        <w:widowControl w:val="0"/>
        <w:shd w:val="clear" w:color="auto" w:fill="auto"/>
        <w:bidi w:val="0"/>
        <w:spacing w:before="0" w:after="0" w:line="240" w:lineRule="auto"/>
        <w:ind w:right="0" w:firstLine="0"/>
        <w:jc w:val="both"/>
      </w:pPr>
      <w:r>
        <w:rPr>
          <w:color w:val="3F3F3F"/>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00АЕ786ЕОЗП4997П7832ЕЗЕ0В44087743В</w:t>
      </w:r>
    </w:p>
    <w:p>
      <w:pPr>
        <w:pStyle w:val="Style29"/>
        <w:keepNext w:val="0"/>
        <w:keepLines w:val="0"/>
        <w:widowControl w:val="0"/>
        <w:shd w:val="clear" w:color="auto" w:fill="auto"/>
        <w:bidi w:val="0"/>
        <w:spacing w:before="0" w:after="180" w:line="240" w:lineRule="auto"/>
        <w:ind w:right="0" w:firstLine="0"/>
        <w:jc w:val="both"/>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color w:val="3F3F3F"/>
          <w:spacing w:val="0"/>
          <w:w w:val="100"/>
          <w:position w:val="0"/>
          <w:shd w:val="clear" w:color="auto" w:fill="auto"/>
          <w:lang w:val="ru-RU" w:eastAsia="ru-RU" w:bidi="ru-RU"/>
        </w:rPr>
        <w:t xml:space="preserve">16.02.2024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11.05.2025</w:t>
      </w:r>
    </w:p>
    <w:sectPr>
      <w:footnotePr>
        <w:pos w:val="pageBottom"/>
        <w:numFmt w:val="decimal"/>
        <w:numRestart w:val="continuous"/>
      </w:footnotePr>
      <w:type w:val="continuous"/>
      <w:pgSz w:w="11900" w:h="16840"/>
      <w:pgMar w:top="1159" w:right="534" w:bottom="950" w:left="109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9989820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2024-6892</w:t>
                          </w:r>
                        </w:p>
                      </w:txbxContent>
                    </wps:txbx>
                    <wps:bodyPr wrap="none" lIns="0" tIns="0" rIns="0" bIns="0">
                      <a:spAutoFit/>
                    </wps:bodyPr>
                  </wps:wsp>
                </a:graphicData>
              </a:graphic>
            </wp:anchor>
          </w:drawing>
        </mc:Choice>
        <mc:Fallback>
          <w:pict>
            <v:shape id="_x0000_s1031" type="#_x0000_t202" style="position:absolute;margin-left:56.950000000000003pt;margin-top:786.60000000000002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2024-6892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2024-6892</w:t>
                          </w:r>
                        </w:p>
                      </w:txbxContent>
                    </wps:txbx>
                    <wps:bodyPr wrap="none" lIns="0" tIns="0" rIns="0" bIns="0">
                      <a:spAutoFit/>
                    </wps:bodyPr>
                  </wps:wsp>
                </a:graphicData>
              </a:graphic>
            </wp:anchor>
          </w:drawing>
        </mc:Choice>
        <mc:Fallback>
          <w:pict>
            <v:shape id="_x0000_s1033"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2024-6892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3902075</wp:posOffset>
              </wp:positionH>
              <wp:positionV relativeFrom="page">
                <wp:posOffset>731520</wp:posOffset>
              </wp:positionV>
              <wp:extent cx="128270" cy="106680"/>
              <wp:wrapNone/>
              <wp:docPr id="3" name="Shape 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25pt;margin-top:57.600000000000001pt;width:10.1pt;height:8.4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6619A"/>
      <w:sz w:val="19"/>
      <w:szCs w:val="19"/>
      <w:u w:val="none"/>
    </w:rPr>
  </w:style>
  <w:style w:type="character" w:customStyle="1" w:styleId="CharStyle11">
    <w:name w:val="Основной текст (5)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4">
    <w:name w:val="Заголовок №1_"/>
    <w:basedOn w:val="DefaultParagraphFont"/>
    <w:link w:val="Style23"/>
    <w:rPr>
      <w:rFonts w:ascii="Times New Roman" w:eastAsia="Times New Roman" w:hAnsi="Times New Roman" w:cs="Times New Roman"/>
      <w:b w:val="0"/>
      <w:bCs w:val="0"/>
      <w:i w:val="0"/>
      <w:iCs w:val="0"/>
      <w:smallCaps w:val="0"/>
      <w:strike w:val="0"/>
      <w:sz w:val="26"/>
      <w:szCs w:val="26"/>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5D5D5D"/>
      <w:sz w:val="12"/>
      <w:szCs w:val="12"/>
      <w:u w:val="none"/>
    </w:rPr>
  </w:style>
  <w:style w:type="paragraph" w:customStyle="1" w:styleId="Style2">
    <w:name w:val="Основной текст (3)"/>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240" w:line="257" w:lineRule="auto"/>
      <w:jc w:val="center"/>
    </w:pPr>
    <w:rPr>
      <w:rFonts w:ascii="Times New Roman" w:eastAsia="Times New Roman" w:hAnsi="Times New Roman" w:cs="Times New Roman"/>
      <w:b/>
      <w:bCs/>
      <w:i w:val="0"/>
      <w:iCs w:val="0"/>
      <w:smallCaps w:val="0"/>
      <w:strike w:val="0"/>
      <w:color w:val="46619A"/>
      <w:sz w:val="19"/>
      <w:szCs w:val="19"/>
      <w:u w:val="none"/>
    </w:rPr>
  </w:style>
  <w:style w:type="paragraph" w:customStyle="1" w:styleId="Style10">
    <w:name w:val="Основной текст (5)"/>
    <w:basedOn w:val="Normal"/>
    <w:link w:val="CharStyle11"/>
    <w:pPr>
      <w:widowControl w:val="0"/>
      <w:shd w:val="clear" w:color="auto" w:fill="auto"/>
      <w:spacing w:after="340" w:line="233" w:lineRule="auto"/>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3">
    <w:name w:val="Заголовок №1"/>
    <w:basedOn w:val="Normal"/>
    <w:link w:val="CharStyle24"/>
    <w:pPr>
      <w:widowControl w:val="0"/>
      <w:shd w:val="clear" w:color="auto" w:fill="auto"/>
      <w:ind w:firstLine="74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29">
    <w:name w:val="Основной текст (2)"/>
    <w:basedOn w:val="Normal"/>
    <w:link w:val="CharStyle30"/>
    <w:pPr>
      <w:widowControl w:val="0"/>
      <w:shd w:val="clear" w:color="auto" w:fill="auto"/>
      <w:ind w:left="3080"/>
    </w:pPr>
    <w:rPr>
      <w:rFonts w:ascii="Arial" w:eastAsia="Arial" w:hAnsi="Arial" w:cs="Arial"/>
      <w:b w:val="0"/>
      <w:bCs w:val="0"/>
      <w:i w:val="0"/>
      <w:iCs w:val="0"/>
      <w:smallCaps w:val="0"/>
      <w:strike w:val="0"/>
      <w:color w:val="5D5D5D"/>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