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0" w:line="254" w:lineRule="auto"/>
        <w:ind w:left="0" w:right="0" w:firstLine="0"/>
        <w:jc w:val="center"/>
        <w:rPr>
          <w:sz w:val="19"/>
          <w:szCs w:val="19"/>
        </w:rPr>
      </w:pPr>
      <w:r>
        <w:rPr>
          <w:b/>
          <w:bCs/>
          <w:color w:val="46619B"/>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after="18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12"/>
        <w:keepNext w:val="0"/>
        <w:keepLines w:val="0"/>
        <w:widowControl w:val="0"/>
        <w:shd w:val="clear" w:color="auto" w:fill="auto"/>
        <w:tabs>
          <w:tab w:pos="1843"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4,10,2024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ЛИ/11831/</w:t>
      </w:r>
      <w:r>
        <w:rPr>
          <w:color w:val="000000"/>
          <w:spacing w:val="0"/>
          <w:w w:val="100"/>
          <w:position w:val="0"/>
          <w:sz w:val="30"/>
          <w:szCs w:val="30"/>
          <w:shd w:val="clear" w:color="auto" w:fill="auto"/>
          <w:lang w:val="ru-RU" w:eastAsia="ru-RU" w:bidi="ru-RU"/>
        </w:rPr>
        <w:t>24</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«Медика»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680022, г. Хабаровск, ул. Раздольная, д. 11, помещение № 8</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теШса27@тай.ги</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Краевое государственное бюджетное учреждение здравоохранения «Краевая клиническая больница» имени профессора С.И. Сергеева министерства здравоохранения Хабаровского края</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680009, г. Хабаровск, ул. Краснодарская, д. 9</w:t>
      </w:r>
    </w:p>
    <w:p>
      <w:pPr>
        <w:pStyle w:val="Style12"/>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690" w:bottom="1216" w:left="1140" w:header="0" w:footer="3" w:gutter="0"/>
          <w:pgNumType w:start="1"/>
          <w:cols w:num="2" w:space="720" w:equalWidth="0">
            <w:col w:w="4358" w:space="811"/>
            <w:col w:w="4901"/>
          </w:cols>
          <w:noEndnote/>
          <w:titlePg/>
          <w:rtlGutter w:val="0"/>
          <w:docGrid w:linePitch="360"/>
        </w:sectPr>
      </w:pPr>
      <w:r>
        <w:rPr>
          <w:color w:val="000000"/>
          <w:spacing w:val="0"/>
          <w:w w:val="100"/>
          <w:position w:val="0"/>
          <w:shd w:val="clear" w:color="auto" w:fill="auto"/>
          <w:lang w:val="ru-RU" w:eastAsia="ru-RU" w:bidi="ru-RU"/>
        </w:rPr>
        <w:t>м&lt;'^|Ы&lt;1&lt;Ь1@таП.П1</w:t>
      </w:r>
    </w:p>
    <w:p>
      <w:pPr>
        <w:widowControl w:val="0"/>
        <w:spacing w:line="79" w:lineRule="exact"/>
        <w:rPr>
          <w:sz w:val="6"/>
          <w:szCs w:val="6"/>
        </w:rPr>
      </w:pPr>
    </w:p>
    <w:p>
      <w:pPr>
        <w:widowControl w:val="0"/>
        <w:spacing w:line="1" w:lineRule="exact"/>
        <w:sectPr>
          <w:footnotePr>
            <w:pos w:val="pageBottom"/>
            <w:numFmt w:val="decimal"/>
            <w:numRestart w:val="continuous"/>
          </w:footnotePr>
          <w:type w:val="continuous"/>
          <w:pgSz w:w="11900" w:h="16840"/>
          <w:pgMar w:top="937" w:right="0" w:bottom="1177"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Комитет государственного заказа</w:t>
      </w:r>
    </w:p>
    <w:p>
      <w:pPr>
        <w:pStyle w:val="Style12"/>
        <w:keepNext w:val="0"/>
        <w:keepLines w:val="0"/>
        <w:widowControl w:val="0"/>
        <w:shd w:val="clear" w:color="auto" w:fill="auto"/>
        <w:bidi w:val="0"/>
        <w:spacing w:before="0" w:after="280" w:line="240" w:lineRule="auto"/>
        <w:ind w:left="5240" w:right="0" w:firstLine="0"/>
        <w:jc w:val="left"/>
      </w:pPr>
      <w:r>
        <w:rPr>
          <w:color w:val="000000"/>
          <w:spacing w:val="0"/>
          <w:w w:val="100"/>
          <w:position w:val="0"/>
          <w:shd w:val="clear" w:color="auto" w:fill="auto"/>
          <w:lang w:val="ru-RU" w:eastAsia="ru-RU" w:bidi="ru-RU"/>
        </w:rPr>
        <w:t>Правительства Хабаровского края</w:t>
      </w:r>
    </w:p>
    <w:p>
      <w:pPr>
        <w:pStyle w:val="Style12"/>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680000, г Хабаровск, ул. Фрунзе, д. 71, каб. 512</w:t>
      </w:r>
    </w:p>
    <w:p>
      <w:pPr>
        <w:pStyle w:val="Style12"/>
        <w:keepNext w:val="0"/>
        <w:keepLines w:val="0"/>
        <w:widowControl w:val="0"/>
        <w:shd w:val="clear" w:color="auto" w:fill="auto"/>
        <w:bidi w:val="0"/>
        <w:spacing w:before="0" w:after="340" w:line="240" w:lineRule="auto"/>
        <w:ind w:left="5240" w:right="0" w:firstLine="0"/>
        <w:jc w:val="left"/>
      </w:pPr>
      <w:r>
        <w:rPr>
          <w:color w:val="000000"/>
          <w:spacing w:val="0"/>
          <w:w w:val="100"/>
          <w:position w:val="0"/>
          <w:shd w:val="clear" w:color="auto" w:fill="auto"/>
          <w:lang w:val="ru-RU" w:eastAsia="ru-RU" w:bidi="ru-RU"/>
        </w:rPr>
        <w:t>д/@1&lt;11\\до\\П1</w:t>
      </w:r>
    </w:p>
    <w:p>
      <w:pPr>
        <w:pStyle w:val="Style22"/>
        <w:keepNext/>
        <w:keepLines/>
        <w:widowControl w:val="0"/>
        <w:shd w:val="clear" w:color="auto" w:fill="auto"/>
        <w:bidi w:val="0"/>
        <w:spacing w:before="0" w:after="280" w:line="240" w:lineRule="auto"/>
        <w:ind w:left="0" w:right="0" w:firstLine="0"/>
        <w:jc w:val="center"/>
      </w:pPr>
      <w:bookmarkStart w:id="0" w:name="bookmark0"/>
      <w:r>
        <w:rPr>
          <w:b/>
          <w:bCs/>
          <w:color w:val="000000"/>
          <w:spacing w:val="0"/>
          <w:w w:val="100"/>
          <w:position w:val="0"/>
          <w:shd w:val="clear" w:color="auto" w:fill="auto"/>
          <w:lang w:val="ru-RU" w:eastAsia="ru-RU" w:bidi="ru-RU"/>
        </w:rPr>
        <w:t>РЕШЕНИЕ № 7-1/237</w:t>
      </w:r>
      <w:bookmarkEnd w:id="0"/>
    </w:p>
    <w:p>
      <w:pPr>
        <w:pStyle w:val="Style12"/>
        <w:keepNext w:val="0"/>
        <w:keepLines w:val="0"/>
        <w:widowControl w:val="0"/>
        <w:shd w:val="clear" w:color="auto" w:fill="auto"/>
        <w:tabs>
          <w:tab w:pos="8674" w:val="left"/>
        </w:tabs>
        <w:bidi w:val="0"/>
        <w:spacing w:before="0" w:after="280" w:line="240" w:lineRule="auto"/>
        <w:ind w:left="0" w:right="0" w:firstLine="0"/>
        <w:jc w:val="left"/>
      </w:pPr>
      <w:r>
        <w:rPr>
          <w:color w:val="000000"/>
          <w:spacing w:val="0"/>
          <w:w w:val="100"/>
          <w:position w:val="0"/>
          <w:shd w:val="clear" w:color="auto" w:fill="auto"/>
          <w:lang w:val="ru-RU" w:eastAsia="ru-RU" w:bidi="ru-RU"/>
        </w:rPr>
        <w:t>21.10.2024</w:t>
        <w:tab/>
        <w:t>г. Хабаровск</w:t>
      </w:r>
    </w:p>
    <w:p>
      <w:pPr>
        <w:pStyle w:val="Style12"/>
        <w:keepNext w:val="0"/>
        <w:keepLines w:val="0"/>
        <w:widowControl w:val="0"/>
        <w:shd w:val="clear" w:color="auto" w:fill="auto"/>
        <w:bidi w:val="0"/>
        <w:spacing w:before="0" w:after="340" w:line="240" w:lineRule="auto"/>
        <w:ind w:left="0" w:right="0" w:firstLine="74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по контролю закупок в составе:</w:t>
      </w:r>
    </w:p>
    <w:tbl>
      <w:tblPr>
        <w:tblOverlap w:val="never"/>
        <w:jc w:val="center"/>
        <w:tblLayout w:type="fixed"/>
      </w:tblPr>
      <w:tblGrid>
        <w:gridCol w:w="3197"/>
        <w:gridCol w:w="7056"/>
      </w:tblGrid>
      <w:tr>
        <w:trPr>
          <w:trHeight w:val="802" w:hRule="exact"/>
        </w:trPr>
        <w:tc>
          <w:tcPr>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c>
        <w:tc>
          <w:tcPr>
            <w:tcBorders/>
            <w:shd w:val="clear" w:color="auto" w:fill="auto"/>
            <w:vAlign w:val="top"/>
          </w:tcPr>
          <w:p>
            <w:pPr>
              <w:pStyle w:val="Style7"/>
              <w:keepNext w:val="0"/>
              <w:keepLines w:val="0"/>
              <w:widowControl w:val="0"/>
              <w:shd w:val="clear" w:color="auto" w:fill="auto"/>
              <w:tabs>
                <w:tab w:pos="3134" w:val="left"/>
                <w:tab w:pos="5280" w:val="left"/>
              </w:tabs>
              <w:bidi w:val="0"/>
              <w:spacing w:before="0" w:after="0" w:line="240" w:lineRule="auto"/>
              <w:ind w:left="0" w:right="0" w:firstLine="0"/>
              <w:jc w:val="left"/>
            </w:pPr>
            <w:r>
              <w:rPr>
                <w:color w:val="000000"/>
                <w:spacing w:val="0"/>
                <w:w w:val="100"/>
                <w:position w:val="0"/>
                <w:shd w:val="clear" w:color="auto" w:fill="auto"/>
                <w:lang w:val="ru-RU" w:eastAsia="ru-RU" w:bidi="ru-RU"/>
              </w:rPr>
              <w:t>- Ильченко Л.А. -</w:t>
              <w:tab/>
              <w:t>заместитель</w:t>
              <w:tab/>
              <w:t>руководителя</w:t>
            </w:r>
          </w:p>
          <w:p>
            <w:pPr>
              <w:pStyle w:val="Style7"/>
              <w:keepNext w:val="0"/>
              <w:keepLines w:val="0"/>
              <w:widowControl w:val="0"/>
              <w:shd w:val="clear" w:color="auto" w:fill="auto"/>
              <w:bidi w:val="0"/>
              <w:spacing w:before="0" w:after="0" w:line="240" w:lineRule="auto"/>
              <w:ind w:left="2440" w:right="0" w:firstLine="0"/>
              <w:jc w:val="left"/>
            </w:pPr>
            <w:r>
              <w:rPr>
                <w:color w:val="000000"/>
                <w:spacing w:val="0"/>
                <w:w w:val="100"/>
                <w:position w:val="0"/>
                <w:shd w:val="clear" w:color="auto" w:fill="auto"/>
                <w:lang w:val="ru-RU" w:eastAsia="ru-RU" w:bidi="ru-RU"/>
              </w:rPr>
              <w:t>управления;</w:t>
            </w:r>
          </w:p>
        </w:tc>
      </w:tr>
      <w:tr>
        <w:trPr>
          <w:trHeight w:val="1762" w:hRule="exact"/>
        </w:trPr>
        <w:tc>
          <w:tcPr>
            <w:tcBorders/>
            <w:shd w:val="clear" w:color="auto" w:fill="auto"/>
            <w:vAlign w:val="top"/>
          </w:tcPr>
          <w:p>
            <w:pPr>
              <w:pStyle w:val="Style7"/>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bottom"/>
          </w:tcPr>
          <w:p>
            <w:pPr>
              <w:pStyle w:val="Style7"/>
              <w:keepNext w:val="0"/>
              <w:keepLines w:val="0"/>
              <w:widowControl w:val="0"/>
              <w:numPr>
                <w:ilvl w:val="0"/>
                <w:numId w:val="1"/>
              </w:numPr>
              <w:shd w:val="clear" w:color="auto" w:fill="auto"/>
              <w:tabs>
                <w:tab w:pos="154" w:val="left"/>
              </w:tabs>
              <w:bidi w:val="0"/>
              <w:spacing w:before="0" w:after="280" w:line="240" w:lineRule="auto"/>
              <w:ind w:left="0" w:right="0" w:firstLine="0"/>
              <w:jc w:val="center"/>
            </w:pPr>
            <w:r>
              <w:rPr>
                <w:color w:val="000000"/>
                <w:spacing w:val="0"/>
                <w:w w:val="100"/>
                <w:position w:val="0"/>
                <w:shd w:val="clear" w:color="auto" w:fill="auto"/>
                <w:lang w:val="ru-RU" w:eastAsia="ru-RU" w:bidi="ru-RU"/>
              </w:rPr>
              <w:t>Кушнер Ж.В. - главный специалист-эксперт отдела контроля закупок;</w:t>
            </w:r>
          </w:p>
          <w:p>
            <w:pPr>
              <w:pStyle w:val="Style7"/>
              <w:keepNext w:val="0"/>
              <w:keepLines w:val="0"/>
              <w:widowControl w:val="0"/>
              <w:numPr>
                <w:ilvl w:val="0"/>
                <w:numId w:val="1"/>
              </w:numPr>
              <w:shd w:val="clear" w:color="auto" w:fill="auto"/>
              <w:tabs>
                <w:tab w:pos="154" w:val="left"/>
              </w:tabs>
              <w:bidi w:val="0"/>
              <w:spacing w:before="0" w:after="0" w:line="240" w:lineRule="auto"/>
              <w:ind w:left="0" w:right="0" w:firstLine="0"/>
              <w:jc w:val="center"/>
            </w:pPr>
            <w:r>
              <w:rPr>
                <w:color w:val="000000"/>
                <w:spacing w:val="0"/>
                <w:w w:val="100"/>
                <w:position w:val="0"/>
                <w:shd w:val="clear" w:color="auto" w:fill="auto"/>
                <w:lang w:val="ru-RU" w:eastAsia="ru-RU" w:bidi="ru-RU"/>
              </w:rPr>
              <w:t>Черевко И.Н. - главный специалист-эксперт отдела контроля закупок,</w:t>
            </w:r>
          </w:p>
        </w:tc>
      </w:tr>
    </w:tbl>
    <w:p>
      <w:pPr>
        <w:widowControl w:val="0"/>
        <w:spacing w:after="179" w:line="1" w:lineRule="exact"/>
      </w:pPr>
    </w:p>
    <w:p>
      <w:pPr>
        <w:pStyle w:val="Style12"/>
        <w:keepNext w:val="0"/>
        <w:keepLines w:val="0"/>
        <w:widowControl w:val="0"/>
        <w:shd w:val="clear" w:color="auto" w:fill="auto"/>
        <w:bidi w:val="0"/>
        <w:spacing w:before="0" w:after="220" w:line="240" w:lineRule="auto"/>
        <w:ind w:left="0" w:right="0" w:firstLine="740"/>
        <w:jc w:val="left"/>
      </w:pPr>
      <w:r>
        <w:rPr>
          <w:color w:val="000000"/>
          <w:spacing w:val="0"/>
          <w:w w:val="100"/>
          <w:position w:val="0"/>
          <w:shd w:val="clear" w:color="auto" w:fill="auto"/>
          <w:lang w:val="ru-RU" w:eastAsia="ru-RU" w:bidi="ru-RU"/>
        </w:rPr>
        <w:t>в присутствии директора общества с ограниченной ответственностью «Медика» Сиденко Н.В., представителя уполномоченного органа - комитета государственного заказа Правительства Хабаровского края Немиро Н.В. по</w:t>
      </w:r>
    </w:p>
    <w:p>
      <w:pPr>
        <w:pStyle w:val="Style7"/>
        <w:keepNext w:val="0"/>
        <w:keepLines w:val="0"/>
        <w:widowControl w:val="0"/>
        <w:shd w:val="clear" w:color="auto" w:fill="auto"/>
        <w:bidi w:val="0"/>
        <w:spacing w:before="0" w:after="280" w:line="240" w:lineRule="auto"/>
        <w:ind w:left="0" w:right="0" w:firstLine="0"/>
        <w:jc w:val="both"/>
        <w:rPr>
          <w:sz w:val="38"/>
          <w:szCs w:val="38"/>
        </w:rPr>
      </w:pPr>
      <w:r>
        <w:rPr>
          <w:rFonts w:ascii="Arial" w:eastAsia="Arial" w:hAnsi="Arial" w:cs="Arial"/>
          <w:color w:val="000000"/>
          <w:spacing w:val="0"/>
          <w:w w:val="100"/>
          <w:position w:val="0"/>
          <w:sz w:val="38"/>
          <w:szCs w:val="38"/>
          <w:shd w:val="clear" w:color="auto" w:fill="auto"/>
          <w:lang w:val="ru-RU" w:eastAsia="ru-RU" w:bidi="ru-RU"/>
        </w:rPr>
        <w:t>||||||||||||||||||||||||</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доверенности от 18.01.2024 № 1,</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«Медика» (далее также - ООО «Медика», Общество, заявитель) и материалы дела № 027/06/105-1530/2024,</w:t>
      </w: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(далее также - Хабаровское УФАС России) поступила жалоба ООО «Медика» на действия заказчика - краевого государственного бюджетного учреждения здравоохранения «Краевая клиническая больница» имени профессора С.И. Сергеева министерства здравоохранения Хабаровского края (далее также - КГБУЗ «Краевая клиническая больница» имени профессора С.И. Сергеева, заказчик), уполномоченного органа - комитета государственного заказа Правительства Хабаровского края (далее также - уполномоченный орган) при осуществлении закупки путем проведения запроса котировок в электронной форме на поставку наборов ангиографических (извещение от 30.09.2024 № 0122200002524003839).</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заявка победителя спорной закупки содержит предложение о поставке наборов ангиографических, содержащих недостоверные сведения. Полагает, что наборы ангиографические производства компании Ш|х1У1Ы1ои МеШса1 АррПапсез Со. I Лс1. («УсиЮйшоу Медикал Эплаенсиз Ко. Лтд.», Китай, РУ № ФСЗ 2009/03698 от 31.03.2023), а именно: «Шприцы и соединительные линии для инжекторов автоматических для ангиографии, компьютерной и магниторезонансной томографии, модель 100200Г, в составе: - Шприц 190 мл; - СТ Ьше Туре СЬ; - СТ Ьше ^-^уре; - СТ Ьше Туре (ВрП&lt;е)» не совместимы с системой инъекционной МЕГЖАГ) ЗаНеП (вариант исполнения: двухъемкостный инъектор для контраста, заводской (серийный) номер 905876, 2024 года выпуска, производитель ИМАКСЕОН ПИ ТИ УАЙ ЛТД, Австрия, регистрационное удостоверение ФСЗ № 2012/12881), имеющейся и используемой заказчиком, в связи с чем заявка победителя должна была быть отклонена на основании п. 8 ч. 12 ст. 48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рамках поступившей жалобы, на основании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 44-ФЗ), Хабаровским УФАС России принято решение о проведении внеплановой проверки.</w:t>
      </w:r>
    </w:p>
    <w:p>
      <w:pPr>
        <w:pStyle w:val="Style27"/>
        <w:keepNext/>
        <w:keepLines/>
        <w:widowControl w:val="0"/>
        <w:shd w:val="clear" w:color="auto" w:fill="auto"/>
        <w:bidi w:val="0"/>
        <w:spacing w:before="0" w:after="0" w:line="240" w:lineRule="auto"/>
        <w:ind w:left="0" w:right="0"/>
        <w:jc w:val="both"/>
      </w:pPr>
      <w:bookmarkStart w:id="2" w:name="bookmark2"/>
      <w:r>
        <w:rPr>
          <w:color w:val="000000"/>
          <w:spacing w:val="0"/>
          <w:w w:val="100"/>
          <w:position w:val="0"/>
          <w:shd w:val="clear" w:color="auto" w:fill="auto"/>
          <w:lang w:val="ru-RU" w:eastAsia="ru-RU" w:bidi="ru-RU"/>
        </w:rPr>
        <w:t>В ходе проведения проверочных мероприятий уполномоченным органом представлены заявки всех участников спорной закупки, а также отзыв, в соответствии с которым считает последнюю необоснованной в полном объеме.</w:t>
      </w:r>
      <w:bookmarkEnd w:id="2"/>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процессе рассмотрения представленных документов и информации Комиссией Хабаровского УФАС России установлено следующее.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Уполномоченным органом для заказчика - КГБУЗ «Краевая клиническая больница» имени профессора С.И. Сергеева проведена закупка на поставку наборов ангиографических.</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 0122200002524003839 об осуществлении закупки размещено на официальном сайте единой информационной системы в сфере закупок 30.09.2024 (далее также - Извещение).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Способ определения поставщика (подрядчика, исполнителя): запрос котировок в электронной форме.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4 452 682,55 рублей.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 0122200002524003839 от 11.10.2024 на участие в спорной закупке подано 2 заявки (№№ 117424367, 117398497), победителем признана заявка № 117424367 (заявка ООО «Куполмед»).</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материалы дела № 027/06/105-1530/2024, Комиссия Хабаровского УФАС России приходит к выводу о признании жалобы необоснованной по следующим основаниям.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 44-ФЗ.</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статье 8 названного Закона закреплен принцип обеспечения конкуренции при проведении закупок.</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 ст. 8 Закона № 44-ФЗ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2 данной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Статьей 24 Закона № 44-ФЗ определено, что одним из способов конкурентной закупки является запрос котировок в электронной форме.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части 9 данной статьи победителем запроса котировок в электронной форме признается участник закупки, заявка на участие в закупке которого </w:t>
      </w:r>
      <w:r>
        <w:rPr>
          <w:color w:val="000000"/>
          <w:spacing w:val="0"/>
          <w:w w:val="100"/>
          <w:position w:val="0"/>
          <w:shd w:val="clear" w:color="auto" w:fill="auto"/>
          <w:lang w:val="ru-RU" w:eastAsia="ru-RU" w:bidi="ru-RU"/>
        </w:rPr>
        <w:t>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частью 24 статьи 22 настоящего Федерального закона).</w:t>
      </w:r>
    </w:p>
    <w:p>
      <w:pPr>
        <w:pStyle w:val="Style22"/>
        <w:keepNext/>
        <w:keepLines/>
        <w:widowControl w:val="0"/>
        <w:shd w:val="clear" w:color="auto" w:fill="auto"/>
        <w:bidi w:val="0"/>
        <w:spacing w:before="0" w:after="0" w:line="240" w:lineRule="auto"/>
        <w:ind w:left="0" w:right="0"/>
        <w:jc w:val="both"/>
      </w:pPr>
      <w:bookmarkStart w:id="4" w:name="bookmark4"/>
      <w:r>
        <w:rPr>
          <w:color w:val="000000"/>
          <w:spacing w:val="0"/>
          <w:w w:val="100"/>
          <w:position w:val="0"/>
          <w:shd w:val="clear" w:color="auto" w:fill="auto"/>
          <w:lang w:val="ru-RU" w:eastAsia="ru-RU" w:bidi="ru-RU"/>
        </w:rPr>
        <w:t>Частью 1 ст. 50 Закона № 44-ФЗ установлено, что электронный запрос котировок начинается с размещения в единой информационной системе извещения об осуществлении закупки.</w:t>
      </w:r>
      <w:bookmarkEnd w:id="4"/>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Объектом закупки согласно Извещению является поставка наборов ангиографических (Код позиции КТРУ32.50.50.190-00001378).</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приложением «Описание объекта закупки» к Извещению, товар приобретается к системе инъекционной М1АЖЛ1) 8аКеп1 (вариант исполнения: двухъемкостныйинъектор для контраста, заводской (серийный) номер 905876, 2024 года выпуска, производитель ИМАКСЕОН ПИ ТИ УАЙ ЛТД, Австрия, регистрационное удостоверение ФСЗ № 2012/12881), имеющейся и используемой заказчиком, и должен быть совместим с ней.</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 2 ч. 1 ст. 43 Закона № 44-ФЗ, для участия в конкурентном способе заявка на участие в закупке, если иное не предусмотрено Законом № 44-ФЗ, должна содержать предложение участника закупки в отношении объекта закупки:</w:t>
      </w:r>
    </w:p>
    <w:p>
      <w:pPr>
        <w:pStyle w:val="Style12"/>
        <w:keepNext w:val="0"/>
        <w:keepLines w:val="0"/>
        <w:widowControl w:val="0"/>
        <w:numPr>
          <w:ilvl w:val="0"/>
          <w:numId w:val="3"/>
        </w:numPr>
        <w:shd w:val="clear" w:color="auto" w:fill="auto"/>
        <w:tabs>
          <w:tab w:pos="121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 44-ФЗ, товарный знак (при наличии у товара товарного знака);</w:t>
      </w:r>
    </w:p>
    <w:p>
      <w:pPr>
        <w:pStyle w:val="Style12"/>
        <w:keepNext w:val="0"/>
        <w:keepLines w:val="0"/>
        <w:widowControl w:val="0"/>
        <w:numPr>
          <w:ilvl w:val="0"/>
          <w:numId w:val="3"/>
        </w:numPr>
        <w:shd w:val="clear" w:color="auto" w:fill="auto"/>
        <w:tabs>
          <w:tab w:pos="121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pPr>
        <w:pStyle w:val="Style12"/>
        <w:keepNext w:val="0"/>
        <w:keepLines w:val="0"/>
        <w:widowControl w:val="0"/>
        <w:numPr>
          <w:ilvl w:val="0"/>
          <w:numId w:val="3"/>
        </w:numPr>
        <w:shd w:val="clear" w:color="auto" w:fill="auto"/>
        <w:tabs>
          <w:tab w:pos="121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1 ч. 2 ст. 43 Закона № 44-ФЗ, при формировании предложения участника закупки в отношении объекта закупки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Подпунктом «а» п. 1 ч. 3 статьи 50 Закона № 44-ФЗ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п.п. 1 - 8 ч. 12 ст. 48 Закона № 44-ФЗ заявка подлежит отклонению в случаях:</w:t>
      </w:r>
    </w:p>
    <w:p>
      <w:pPr>
        <w:pStyle w:val="Style12"/>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2"/>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2"/>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2"/>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w:t>
      </w:r>
      <w:r>
        <w:rPr>
          <w:color w:val="000000"/>
          <w:spacing w:val="0"/>
          <w:w w:val="100"/>
          <w:position w:val="0"/>
          <w:shd w:val="clear" w:color="auto" w:fill="auto"/>
          <w:lang w:val="ru-RU" w:eastAsia="ru-RU" w:bidi="ru-RU"/>
        </w:rPr>
        <w:t>услуг, включенных в перечень, определенный Правительством Российской Федерации в соответствии с указанным пунктом;</w:t>
      </w:r>
    </w:p>
    <w:p>
      <w:pPr>
        <w:pStyle w:val="Style12"/>
        <w:keepNext w:val="0"/>
        <w:keepLines w:val="0"/>
        <w:widowControl w:val="0"/>
        <w:numPr>
          <w:ilvl w:val="0"/>
          <w:numId w:val="5"/>
        </w:numPr>
        <w:shd w:val="clear" w:color="auto" w:fill="auto"/>
        <w:tabs>
          <w:tab w:pos="180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2"/>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Иных оснований отклонения заявок участников закупки Законом № 44-ФЗ не предусмотрено.</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анализа заявки победителя спорной закупки - ООО «Куполмед» Комиссией Хабаровского УФАС России установлено, что Обществом предложен следующий товар: «Шприцы и соединительные линии для инжекторов автоматических для ангиографии, компьютерной и магниторезонансной томографии, модель 100200Г, в составе: - Шприц 190 мл; - СТ ^^пе Туре СЕ; - СТ ^^пе .1-1уре; - СТ 1апе Туре (^ке)», производства компании Ш|х1УиЛ1О11 Медка! АррНапсез Со. I Лс1. («УсиЮйшоу Медикал Эплаенсиз Ко. Лтд.», Китай, РУ № ФСЗ 2009/03698 от 31.03.2023.</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регистрационного удостоверения № ФСЗ 2009/03698 от 31.03.2023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размещенном на сайте Федеральной службы по надзору в сфере здравоохранения (11ПрЖ/1Ч)^/с11л\лас1/ог.до\лч|Л, имеется реестровая запись 70507.</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Данная реестровая запись 70507 содержит сведения о регистрационном досье, в составе которого имеется Инструкция по применению на медицинское изделие «Шприцы и соединительные линии для инжекторов автоматических для ангиографии, компьютерной и магниторезонансной томографии» от 21.10.2021 (далее также - Инструкция).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странице 14, 15 Инструкции содержатся сведения о назначении предложенной к поставке модели 100200Г «для системы инъекционной Медгад ВаНеп!».</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официальные сведения регистрационного досье подтверждают как совместимость, так и разрешение к использованию данного медицинского изделия с системой для ввода контрастного вещества Медгад ВаНеп!, производства «Имаксеон Пи Ти Уай Лтд», Австралия и в частности с системой инъекционной МЕ1ЖА1) ВаНеп! (вариант исполнения: двухъемкостныйинъектор для контраста, заводской (серийный) номер 905876, 2024 года выпуска, производитель ИМАКСЕОН ПИ ТИ УАЙ ЛТД, Австрия, регистрационное удостоверение ФСЗ № 2012/12881), имеющейся и используемой заказчиком».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 этом письмо АО «Байер» от 10.10.2024 № 04-10.10/2024-В^, являющегося уполномоченным представителем компаний-производителей инъекционных систем и расходных материалов к инъекционным системам («Байер Медикал Кэа Инк.», США и «Имаксеон Пи Ти Уай Лтд.», Австралия), на которое ссылается в своей жалобе заявитель в качестве подтверждения доводов жалобы, согласно которому производитель не может подтвердить возможность использования со своим оборудованием медицинских изделий иных производителей по причине непроведения им соответствующих экспертиз, что ведет к прекращению </w:t>
      </w:r>
      <w:r>
        <w:rPr>
          <w:color w:val="000000"/>
          <w:spacing w:val="0"/>
          <w:w w:val="100"/>
          <w:position w:val="0"/>
          <w:shd w:val="clear" w:color="auto" w:fill="auto"/>
          <w:lang w:val="ru-RU" w:eastAsia="ru-RU" w:bidi="ru-RU"/>
        </w:rPr>
        <w:t>гарантийных обязательств и ненадлежащей работы инъекционной системы, Комиссия Хабаровского УФАС не принимает в качестве доказательства недостоверных сведений в заявке победителя спорной закупки - ООО «Куполмед», поскольку изложенная в нем формулировка свидетельствует лишь о том, что испытания на совместимость данных товаров не проводились.</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При этом данное письмо не опровергает наличие такой возможности у иного производителя в процессе государственной регистрации своего медицинского изделия.</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ч. 4 ст. 38 Федерального закона от 21.11.2011№ 323-ФЗ «Об основах охраны здоровья граждан в Российской Федерации»,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регистрации медицинских изделий, утвержденными Постановлением Правительства Российской Федерации от 27.12.2012 №1416 (далее также - Правила).</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Абзацем первым п. 5 Правил регламентировано, что 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 учетом классификации в зависимости от потенциального риска их применения, и экспертизы качества, эффективности и безопасности медицинских изделий с учетом классификации в зависимости от потенциального риска их применения, а также испытаний в целях утверждения типа средств измерений.</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При этом Порядок проведения оценки соответствия медицинских изделий в форме технических испытаний, токсикологических исследований, клинических испытаний в целях государственной регистрации медицинских изделий утвержден Приказом Минздрава России от 30.08.2021 № 885н (далее также - Порядок).</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пункту 45 Порядка, в ходе проведения клинических испытаний определяются:</w:t>
      </w:r>
    </w:p>
    <w:p>
      <w:pPr>
        <w:pStyle w:val="Style12"/>
        <w:keepNext w:val="0"/>
        <w:keepLines w:val="0"/>
        <w:widowControl w:val="0"/>
        <w:numPr>
          <w:ilvl w:val="0"/>
          <w:numId w:val="7"/>
        </w:numPr>
        <w:shd w:val="clear" w:color="auto" w:fill="auto"/>
        <w:tabs>
          <w:tab w:pos="1205" w:val="left"/>
        </w:tabs>
        <w:bidi w:val="0"/>
        <w:spacing w:before="0" w:after="0" w:line="240" w:lineRule="auto"/>
        <w:ind w:left="0" w:right="0" w:firstLine="680"/>
        <w:jc w:val="both"/>
      </w:pPr>
      <w:r>
        <w:rPr>
          <w:color w:val="000000"/>
          <w:spacing w:val="0"/>
          <w:w w:val="100"/>
          <w:position w:val="0"/>
          <w:shd w:val="clear" w:color="auto" w:fill="auto"/>
          <w:lang w:val="ru-RU" w:eastAsia="ru-RU" w:bidi="ru-RU"/>
        </w:rPr>
        <w:t>соответствие медицинского изделия нормативной документации, технической и эксплуатационной документации производителя (изготовителя);</w:t>
      </w:r>
    </w:p>
    <w:p>
      <w:pPr>
        <w:pStyle w:val="Style12"/>
        <w:keepNext w:val="0"/>
        <w:keepLines w:val="0"/>
        <w:widowControl w:val="0"/>
        <w:numPr>
          <w:ilvl w:val="0"/>
          <w:numId w:val="7"/>
        </w:numPr>
        <w:shd w:val="clear" w:color="auto" w:fill="auto"/>
        <w:tabs>
          <w:tab w:pos="1205" w:val="left"/>
        </w:tabs>
        <w:bidi w:val="0"/>
        <w:spacing w:before="0" w:after="0" w:line="240" w:lineRule="auto"/>
        <w:ind w:left="0" w:right="0" w:firstLine="680"/>
        <w:jc w:val="both"/>
      </w:pPr>
      <w:r>
        <w:rPr>
          <w:color w:val="000000"/>
          <w:spacing w:val="0"/>
          <w:w w:val="100"/>
          <w:position w:val="0"/>
          <w:shd w:val="clear" w:color="auto" w:fill="auto"/>
          <w:lang w:val="ru-RU" w:eastAsia="ru-RU" w:bidi="ru-RU"/>
        </w:rPr>
        <w:t>соответствие представленной заявителем документации установленным производителем назначению и показаниям к применению;</w:t>
      </w:r>
    </w:p>
    <w:p>
      <w:pPr>
        <w:pStyle w:val="Style12"/>
        <w:keepNext w:val="0"/>
        <w:keepLines w:val="0"/>
        <w:widowControl w:val="0"/>
        <w:numPr>
          <w:ilvl w:val="0"/>
          <w:numId w:val="7"/>
        </w:numPr>
        <w:shd w:val="clear" w:color="auto" w:fill="auto"/>
        <w:tabs>
          <w:tab w:pos="1205"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полнота и достоверность установленных нормативной документацией, технической и эксплуатационной документацией производителя характеристик медицинского изделия;</w:t>
      </w:r>
    </w:p>
    <w:p>
      <w:pPr>
        <w:pStyle w:val="Style12"/>
        <w:keepNext w:val="0"/>
        <w:keepLines w:val="0"/>
        <w:widowControl w:val="0"/>
        <w:numPr>
          <w:ilvl w:val="0"/>
          <w:numId w:val="7"/>
        </w:numPr>
        <w:shd w:val="clear" w:color="auto" w:fill="auto"/>
        <w:tabs>
          <w:tab w:pos="1205"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качество медицинского изделия, эффективность и безопасность его применения.</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 xml:space="preserve">Результаты клинических испытаний медицинского изделия, за исключением случаев, указанных в пункте 46 настоящего Порядка, считаются положительными и подтверждают соответствие медицинского изделия требованиям безопасности и эффективности в соответствии с назначением, предусмотренным документацией </w:t>
      </w:r>
      <w:r>
        <w:rPr>
          <w:color w:val="000000"/>
          <w:spacing w:val="0"/>
          <w:w w:val="100"/>
          <w:position w:val="0"/>
          <w:shd w:val="clear" w:color="auto" w:fill="auto"/>
          <w:lang w:val="ru-RU" w:eastAsia="ru-RU" w:bidi="ru-RU"/>
        </w:rPr>
        <w:t>производителя (изготовителя) (п. 47 Порядка).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8 Правил определено, что для государственной регистрации медицинского изделия (за исключением медицинских изделий, включенных в перечень) разработчик, производитель (изготовитель) медицинского изделия или уполномоченный представитель производителя (изготовителя) (далее - заявитель) представляет либо направляет в регистрирующий орган заявление о государственной регистрации медицинского изделия, а также документы, указанные в пункте 10 настоящих Правил</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«г», «е», «л» п.10 Правил для государственной регистрации медицинского изделия заявителем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 документы, подтверждающие результаты технических испытаний медицинского изделия; проект плана клинических испытаний медицинского изделия с обосновывающими его материалами (в случае, если имеется).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пункта 15 Правил регистрирующий орган проводит проверку полноты и достоверности содержащихся в них сведений, в том числе путем сравнения таких сведений со сведениями, представленными в порядке межведомственного информационного взаимодействия.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6 Правил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пп. «а» п. 54 Правил, регистрирующий орган формирует регистрационное досье, которое включает в себя документы, предусмотренные п. 10 Правил.</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58 Правил 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регистрационного удостоверения, на своем официальном сайте в информационно-телекоммуникационной сети «Интернет».</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изложенного следует, что эксплуатационная документация производителя, в том числе, инструкция по применению и руководство по эксплуатации представляется в числе обязательных документов при регистрации медицинского изделия и входит в состав регистрационного досье.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осуществлении регистрации медицинского изделия эффективность устанавливается как степень достижения изделием медицинского назначения целей своего предназначенного использования; безопасность характеризуется соотношением риска причинения ущерба пациенту, персоналу, оборудованию или окружающей среде при его правильном применении и значимости цели, ради которой оно применяется; качество определяется по соответствию фактических свойств изделия медицинского назначения требованиям нормативного документа.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Все медицинские изделия регистрируются на основании актов технических испытаний, оценки безопасности медицинских испытаний, подтверждающих </w:t>
      </w:r>
      <w:r>
        <w:rPr>
          <w:color w:val="000000"/>
          <w:spacing w:val="0"/>
          <w:w w:val="100"/>
          <w:position w:val="0"/>
          <w:shd w:val="clear" w:color="auto" w:fill="auto"/>
          <w:lang w:val="ru-RU" w:eastAsia="ru-RU" w:bidi="ru-RU"/>
        </w:rPr>
        <w:t>приемлемость показателей качества, эффективности и безопасности изделия.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Федеральная служба по надзору в сфере здравоохранения. осуществляет контроль за порядком проведения испытаний медицинского изделия.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регистрационное удостоверение формируется на основании проверенного комплекта документов, представляемого для государственной регистрации. Назначение медицинского изделия/область его применения устанавливаются и доказываются при его регистрации. Зарегистрированное медицинское изделие (на которое выдано регистрационное удостоверение) допущено к обороту, согласно его назначению, на территории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чем, сведения, изложенные в регистрационном досье, в том числе в инструкции по применению медицинского изделия, могут быть оценены в качестве доказательства его совместимости с медицинскими изделиями другого производителя.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об имеющихся гарантийных обязательствах несостоятелен, учитывая информацию о совместимости, отраженную в инструкции.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следует отметить несостоятельность ссылки в письме АО «Байер» от 10.10.2024 № 04-10.10/2024-В^ на письмо Федеральной службы по надзору в сфере здравоохранения № 09-С-571-1414 от 05.02.2016.</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указано в решении Верховного Суда Российской Федерации от 16.08.2021 № АКПИ21-444, вышеуказанное письмо Федеральной службы по надзору в сфере здравоохранения издано как акт казуального толкования в ответ на индивидуальное обращение гражданина, данный в соответствии с требованиями Федерального закона от 02.05.2006 № 59-ФЗ «О порядке рассмотрения обращений граждан Российской Федерации» при реализации Федеральной службой по надзору в сфере здравоохранения установленных полномочий, и представляет собой ответ на индивидуальное обращение гражданина о даче разъяснений по вопросу эксплуатации медицинского оборудования с принадлежностями и растворами, которые не указаны в инструкции производителя, на аналогичные им по свойствам.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Указанное письмо официально не опубликовано, до сведения его территориальных органов, а также и неопределенного круга лиц не доводилось, следовательно, не устанавливает общеобязательных правил поведения, рассчитанных на неоднократное применение, носит информационно</w:t>
        <w:softHyphen/>
        <w:t>разъяснительный характер по обращению гражданина.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указывает в постановлении Пятый арбитражный апелляционный суд от 20.08.2024 № 05АП-4124/2024 по делу № А59-6479/2023, данные разъяснения даны Федеральной службой по надзору в сфере здравоохранения по вопросу совместного использования медицинского оборудования одного производителя с принадлежностями другого производителя. Тогда как товар, предложенный к поставке ООО «Куполмед» является не принадлежностью, а самостоятельным медицинским изделием, прошедшим надлежащую проверку полноты и достоверности эксплуатационной документации и зарегистрированным в установленном порядке с выдачей производителю регистрационного удостоверения на медицинское изделие № ФСЗ 2009/03698 от 31.03.2023.</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 11 Особенностей обращения, включая особенности </w:t>
      </w:r>
      <w:r>
        <w:rPr>
          <w:color w:val="000000"/>
          <w:spacing w:val="0"/>
          <w:w w:val="100"/>
          <w:position w:val="0"/>
          <w:shd w:val="clear" w:color="auto" w:fill="auto"/>
          <w:lang w:val="ru-RU" w:eastAsia="ru-RU" w:bidi="ru-RU"/>
        </w:rPr>
        <w:t>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утвержденных Постановлением Правительства РФ от 01.04.2022 № 552 (далее также - Особенности обращения медицинских изделий), возможно применение медицинского изделия, производителем (изготовителем) которого в эксплуатационной документации установлен ограниченный перечень расходных материалов, с расходным материалом иного производителя (изготовителя), зарегистрированным в качестве медицинского изделия, если производитель (изготовитель) подтвердил в процессе его государственной регистрации возможность совместного применения с данным медицинским изделием. При этом совместное применение медицинского изделия с расходным материалом осуществляется с учетом особенностей, установленных в эксплуатационной документации производителя (изготовителя) на расходный материал.</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п. 11(1) Особенностей обращения медицинских изделий на официальном сайте учреждения публикуются сведения о комплектующих или принадлежностях медицинского изделия, не предусмотренных в их технической и (или) эксплуатационной документации производителя, для проведения технического обслуживания медицинских изделий с использованием таких комплектующих или принадлежностей.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закупаемые заказчиком расходные материалы (наборы ангиографические) не относятся к комплектующим или принадлежностям, поскольку не используются для проведения технического обслуживания инъекционной системы МЕГЖАГ) 8а11еп1.</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Следует отметить, что под недостоверными сведениями следует понимать сведения, не соответствующие действительности. В свою очередь, исходя из правовой позиции Верховного Суда Российской Федерации, изложенной в постановлении от 24.02.2005 № 3 «О судебной практике по делам о защите чести и достоинства граждан, а также деловой репутации граждан и юридических лиц», под несоответствующими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7).</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предоставленное комиссии право отклонить поданную заявку в случае обнаружения в ней недостоверных сведений свидетельствует о том, что располагать такой информацией комиссия должна непосредственно на момент принятия соответствующего решения, причем располагать именно доказательствами такой недостоверности, но не руководствоваться предположениями.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изложенное, Комиссия Хабаровского УФАС России приходит к выводу о том, что поданная победителем спорной закупки заявка соответствует требованиям извещения об осуществления закупки, каких-либо оснований сомневаться в достоверности представленных в заявке победителя закупки - ООО «Куполмед» сведений у комиссии по осуществлению закупок не имелось, неопровержимыми доказательствами недостоверности таких сведений комиссия по осуществлению закупок не располагала.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доводы жалобы являются несостоятельными.</w:t>
      </w:r>
      <w:r>
        <w:br w:type="page"/>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руководствуясь ст.ст. 99,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Признать жалобу ООО «Медика» на действия заказчика - КГБУЗ «Краевая клиническая больница» имени профессора С.И. Сергеева, уполномоченного органа - комитета государственного заказа Правительства Хабаровского края при осуществлении закупки путем проведения запроса котировок в электронной форме на поставку наборов ангиографических (извещение от 30.09.2024 № 0122200002524003839) - </w:t>
      </w:r>
      <w:r>
        <w:rPr>
          <w:b/>
          <w:bCs/>
          <w:color w:val="000000"/>
          <w:spacing w:val="0"/>
          <w:w w:val="100"/>
          <w:position w:val="0"/>
          <w:shd w:val="clear" w:color="auto" w:fill="auto"/>
          <w:lang w:val="ru-RU" w:eastAsia="ru-RU" w:bidi="ru-RU"/>
        </w:rPr>
        <w:t>необоснованной.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937" w:right="538" w:bottom="1177" w:left="1105" w:header="0" w:footer="3" w:gutter="0"/>
          <w:cols w:space="720"/>
          <w:noEndnote/>
          <w:rtlGutter w:val="0"/>
          <w:docGrid w:linePitch="360"/>
        </w:sectPr>
      </w:pPr>
      <w:r>
        <mc:AlternateContent>
          <mc:Choice Requires="wps">
            <w:drawing>
              <wp:anchor distT="127000" distB="320040" distL="0" distR="0" simplePos="0" relativeHeight="125829378" behindDoc="0" locked="0" layoutInCell="1" allowOverlap="1">
                <wp:simplePos x="0" y="0"/>
                <wp:positionH relativeFrom="page">
                  <wp:posOffset>737870</wp:posOffset>
                </wp:positionH>
                <wp:positionV relativeFrom="paragraph">
                  <wp:posOffset>127000</wp:posOffset>
                </wp:positionV>
                <wp:extent cx="1874520" cy="252730"/>
                <wp:wrapTopAndBottom/>
                <wp:docPr id="5" name="Shape 5"/>
                <a:graphic xmlns:a="http://schemas.openxmlformats.org/drawingml/2006/main">
                  <a:graphicData uri="http://schemas.microsoft.com/office/word/2010/wordprocessingShape">
                    <wps:wsp>
                      <wps:cNvSpPr txBox="1"/>
                      <wps:spPr>
                        <a:xfrm>
                          <a:ext cx="187452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100000000000001pt;margin-top:10.pt;width:147.59999999999999pt;height:19.900000000000002pt;z-index:-125829375;mso-wrap-distance-left:0;mso-wrap-distance-top:10.pt;mso-wrap-distance-right:0;mso-wrap-distance-bottom:25.19999999999999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27000" distB="0" distL="0" distR="1789430" simplePos="0" relativeHeight="125829380" behindDoc="0" locked="0" layoutInCell="1" allowOverlap="1">
            <wp:simplePos x="0" y="0"/>
            <wp:positionH relativeFrom="page">
              <wp:posOffset>2691765</wp:posOffset>
            </wp:positionH>
            <wp:positionV relativeFrom="paragraph">
              <wp:posOffset>127000</wp:posOffset>
            </wp:positionV>
            <wp:extent cx="389890" cy="57277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3188335</wp:posOffset>
                </wp:positionH>
                <wp:positionV relativeFrom="paragraph">
                  <wp:posOffset>565785</wp:posOffset>
                </wp:positionV>
                <wp:extent cx="1280160" cy="103505"/>
                <wp:wrapNone/>
                <wp:docPr id="9" name="Shape 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51.05000000000001pt;margin-top:44.550000000000004pt;width:100.8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3142615</wp:posOffset>
                </wp:positionH>
                <wp:positionV relativeFrom="paragraph">
                  <wp:posOffset>255270</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7.45000000000002pt;margin-top:20.100000000000001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20040" distL="0" distR="0" simplePos="0" relativeHeight="125829381" behindDoc="0" locked="0" layoutInCell="1" allowOverlap="1">
                <wp:simplePos x="0" y="0"/>
                <wp:positionH relativeFrom="page">
                  <wp:posOffset>6062980</wp:posOffset>
                </wp:positionH>
                <wp:positionV relativeFrom="paragraph">
                  <wp:posOffset>127000</wp:posOffset>
                </wp:positionV>
                <wp:extent cx="1124585" cy="252730"/>
                <wp:wrapTopAndBottom/>
                <wp:docPr id="13" name="Shape 13"/>
                <a:graphic xmlns:a="http://schemas.openxmlformats.org/drawingml/2006/main">
                  <a:graphicData uri="http://schemas.microsoft.com/office/word/2010/wordprocessingShape">
                    <wps:wsp>
                      <wps:cNvSpPr txBox="1"/>
                      <wps:spPr>
                        <a:xfrm>
                          <a:ext cx="1124585"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txbxContent>
                      </wps:txbx>
                      <wps:bodyPr wrap="none" lIns="0" tIns="0" rIns="0" bIns="0">
                        <a:noAutoFit/>
                      </wps:bodyPr>
                    </wps:wsp>
                  </a:graphicData>
                </a:graphic>
              </wp:anchor>
            </w:drawing>
          </mc:Choice>
          <mc:Fallback>
            <w:pict>
              <v:shape id="_x0000_s1039" type="#_x0000_t202" style="position:absolute;margin-left:477.40000000000003pt;margin-top:10.pt;width:88.549999999999997pt;height:19.900000000000002pt;z-index:-125829372;mso-wrap-distance-left:0;mso-wrap-distance-top:10.pt;mso-wrap-distance-right:0;mso-wrap-distance-bottom:25.19999999999999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Ильченко Лариса Александровна</w:t>
      </w:r>
    </w:p>
    <w:p>
      <w:pPr>
        <w:pStyle w:val="Style29"/>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53090А0421ЕЕ18С746В01Е823Е3291СЗ</w:t>
      </w:r>
    </w:p>
    <w:p>
      <w:pPr>
        <w:pStyle w:val="Style29"/>
        <w:keepNext w:val="0"/>
        <w:keepLines w:val="0"/>
        <w:widowControl w:val="0"/>
        <w:shd w:val="clear" w:color="auto" w:fill="auto"/>
        <w:bidi w:val="0"/>
        <w:spacing w:before="0" w:after="3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72727"/>
          <w:spacing w:val="0"/>
          <w:w w:val="100"/>
          <w:position w:val="0"/>
          <w:shd w:val="clear" w:color="auto" w:fill="auto"/>
          <w:lang w:val="ru-RU" w:eastAsia="ru-RU" w:bidi="ru-RU"/>
        </w:rPr>
        <w:t xml:space="preserve">05.09.2024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29.11.2025</w:t>
      </w:r>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390" w:line="240" w:lineRule="auto"/>
        <w:ind w:left="0" w:right="0" w:firstLine="0"/>
        <w:jc w:val="center"/>
      </w:pPr>
      <w:r>
        <w:drawing>
          <wp:anchor distT="0" distB="0" distL="114300" distR="1903730" simplePos="0" relativeHeight="125829383" behindDoc="0" locked="0" layoutInCell="1" allowOverlap="1">
            <wp:simplePos x="0" y="0"/>
            <wp:positionH relativeFrom="page">
              <wp:posOffset>2725420</wp:posOffset>
            </wp:positionH>
            <wp:positionV relativeFrom="paragraph">
              <wp:posOffset>76200</wp:posOffset>
            </wp:positionV>
            <wp:extent cx="353695" cy="40259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4025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3143250</wp:posOffset>
                </wp:positionH>
                <wp:positionV relativeFrom="paragraph">
                  <wp:posOffset>167640</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7.5pt;margin-top:13.200000000000001pt;width:135.84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Ж.В. Кушнер</w:t>
      </w:r>
    </w:p>
    <w:p>
      <w:pPr>
        <w:pStyle w:val="Style7"/>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rPr>
          <w:sz w:val="12"/>
          <w:szCs w:val="12"/>
        </w:rPr>
      </w:pPr>
      <w:r>
        <w:rPr>
          <w:rFonts w:ascii="Georgia" w:eastAsia="Georgia" w:hAnsi="Georgia" w:cs="Georgia"/>
          <w:color w:val="E6E6E6"/>
          <w:spacing w:val="0"/>
          <w:w w:val="100"/>
          <w:position w:val="0"/>
          <w:sz w:val="12"/>
          <w:szCs w:val="12"/>
          <w:shd w:val="clear" w:color="auto" w:fill="auto"/>
          <w:lang w:val="ru-RU" w:eastAsia="ru-RU" w:bidi="ru-RU"/>
        </w:rPr>
        <w:t xml:space="preserve">СВЕДЕНИЯ О </w:t>
      </w:r>
      <w:r>
        <w:rPr>
          <w:rFonts w:ascii="Georgia" w:eastAsia="Georgia" w:hAnsi="Georgia" w:cs="Georgia"/>
          <w:color w:val="FFFFFF"/>
          <w:spacing w:val="0"/>
          <w:w w:val="100"/>
          <w:position w:val="0"/>
          <w:sz w:val="12"/>
          <w:szCs w:val="12"/>
          <w:shd w:val="clear" w:color="auto" w:fill="auto"/>
          <w:lang w:val="ru-RU" w:eastAsia="ru-RU" w:bidi="ru-RU"/>
        </w:rPr>
        <w:t>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Кушнер Жанна Владимировна</w:t>
      </w:r>
    </w:p>
    <w:p>
      <w:pPr>
        <w:pStyle w:val="Style29"/>
        <w:keepNext w:val="0"/>
        <w:keepLines w:val="0"/>
        <w:widowControl w:val="0"/>
        <w:shd w:val="clear" w:color="auto" w:fill="auto"/>
        <w:bidi w:val="0"/>
        <w:spacing w:before="0" w:after="0" w:line="240" w:lineRule="auto"/>
        <w:ind w:right="0" w:firstLine="0"/>
        <w:jc w:val="left"/>
      </w:pPr>
      <w:r>
        <w:rPr>
          <w:color w:val="404040"/>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04040"/>
          <w:spacing w:val="0"/>
          <w:w w:val="100"/>
          <w:position w:val="0"/>
          <w:shd w:val="clear" w:color="auto" w:fill="auto"/>
          <w:lang w:val="ru-RU" w:eastAsia="ru-RU" w:bidi="ru-RU"/>
        </w:rPr>
        <w:t>1303А529ПОС1П636543ЕЕВЕ625АВ587А</w:t>
      </w:r>
    </w:p>
    <w:p>
      <w:pPr>
        <w:pStyle w:val="Style29"/>
        <w:keepNext w:val="0"/>
        <w:keepLines w:val="0"/>
        <w:widowControl w:val="0"/>
        <w:shd w:val="clear" w:color="auto" w:fill="auto"/>
        <w:bidi w:val="0"/>
        <w:spacing w:before="0" w:after="560" w:line="240" w:lineRule="auto"/>
        <w:ind w:right="0" w:firstLine="0"/>
        <w:jc w:val="left"/>
      </w:pPr>
      <w:r>
        <w:rPr>
          <w:spacing w:val="0"/>
          <w:w w:val="100"/>
          <w:position w:val="0"/>
          <w:shd w:val="clear" w:color="auto" w:fill="auto"/>
          <w:lang w:val="ru-RU" w:eastAsia="ru-RU" w:bidi="ru-RU"/>
        </w:rPr>
        <w:t xml:space="preserve">Действителен </w:t>
      </w:r>
      <w:r>
        <w:rPr>
          <w:color w:val="40404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01.07.2024 по 24.09.2025</w:t>
      </w:r>
    </w:p>
    <w:p>
      <w:pPr>
        <w:pStyle w:val="Style12"/>
        <w:keepNext w:val="0"/>
        <w:keepLines w:val="0"/>
        <w:widowControl w:val="0"/>
        <w:shd w:val="clear" w:color="auto" w:fill="auto"/>
        <w:bidi w:val="0"/>
        <w:spacing w:before="0" w:after="390" w:line="240" w:lineRule="auto"/>
        <w:ind w:left="0" w:right="0" w:firstLine="0"/>
        <w:jc w:val="center"/>
      </w:pPr>
      <w:r>
        <w:drawing>
          <wp:anchor distT="0" distB="0" distL="114300" distR="1921510" simplePos="0" relativeHeight="125829384" behindDoc="0" locked="0" layoutInCell="1" allowOverlap="1">
            <wp:simplePos x="0" y="0"/>
            <wp:positionH relativeFrom="page">
              <wp:posOffset>2682875</wp:posOffset>
            </wp:positionH>
            <wp:positionV relativeFrom="paragraph">
              <wp:posOffset>76200</wp:posOffset>
            </wp:positionV>
            <wp:extent cx="311150" cy="36576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3075940</wp:posOffset>
                </wp:positionH>
                <wp:positionV relativeFrom="paragraph">
                  <wp:posOffset>146050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20000000000002pt;margin-top:11.5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И.Н.Черевко</w:t>
      </w:r>
    </w:p>
    <w:p>
      <w:pPr>
        <w:pStyle w:val="Style7"/>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rPr>
          <w:sz w:val="12"/>
          <w:szCs w:val="12"/>
        </w:rPr>
      </w:pPr>
      <w:r>
        <w:rPr>
          <w:rFonts w:ascii="Georgia" w:eastAsia="Georgia" w:hAnsi="Georgia" w:cs="Georgia"/>
          <w:color w:val="E6E6E6"/>
          <w:spacing w:val="0"/>
          <w:w w:val="100"/>
          <w:position w:val="0"/>
          <w:sz w:val="12"/>
          <w:szCs w:val="12"/>
          <w:shd w:val="clear" w:color="auto" w:fill="auto"/>
          <w:lang w:val="ru-RU" w:eastAsia="ru-RU" w:bidi="ru-RU"/>
        </w:rPr>
        <w:t xml:space="preserve">СВЕДЕНИЯ О </w:t>
      </w:r>
      <w:r>
        <w:rPr>
          <w:rFonts w:ascii="Georgia" w:eastAsia="Georgia" w:hAnsi="Georgia" w:cs="Georgia"/>
          <w:color w:val="FFFFFF"/>
          <w:spacing w:val="0"/>
          <w:w w:val="100"/>
          <w:position w:val="0"/>
          <w:sz w:val="12"/>
          <w:szCs w:val="12"/>
          <w:shd w:val="clear" w:color="auto" w:fill="auto"/>
          <w:lang w:val="ru-RU" w:eastAsia="ru-RU" w:bidi="ru-RU"/>
        </w:rPr>
        <w:t xml:space="preserve">СЕРТИФИКАТЕ </w:t>
      </w:r>
      <w:r>
        <w:rPr>
          <w:rFonts w:ascii="Georgia" w:eastAsia="Georgia" w:hAnsi="Georgia" w:cs="Georgia"/>
          <w:color w:val="E6E6E6"/>
          <w:spacing w:val="0"/>
          <w:w w:val="100"/>
          <w:position w:val="0"/>
          <w:sz w:val="12"/>
          <w:szCs w:val="12"/>
          <w:shd w:val="clear" w:color="auto" w:fill="auto"/>
          <w:lang w:val="ru-RU" w:eastAsia="ru-RU" w:bidi="ru-RU"/>
        </w:rPr>
        <w:t>ЭП</w:t>
      </w:r>
    </w:p>
    <w:p>
      <w:pPr>
        <w:pStyle w:val="Style29"/>
        <w:keepNext w:val="0"/>
        <w:keepLines w:val="0"/>
        <w:widowControl w:val="0"/>
        <w:shd w:val="clear" w:color="auto" w:fill="auto"/>
        <w:bidi w:val="0"/>
        <w:spacing w:before="0" w:after="0" w:line="240" w:lineRule="auto"/>
        <w:ind w:left="3100"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Черевко Ирина Николаевна</w:t>
      </w:r>
    </w:p>
    <w:p>
      <w:pPr>
        <w:pStyle w:val="Style29"/>
        <w:keepNext w:val="0"/>
        <w:keepLines w:val="0"/>
        <w:widowControl w:val="0"/>
        <w:shd w:val="clear" w:color="auto" w:fill="auto"/>
        <w:bidi w:val="0"/>
        <w:spacing w:before="0" w:after="0" w:line="240" w:lineRule="auto"/>
        <w:ind w:left="3100" w:right="0" w:firstLine="0"/>
        <w:jc w:val="left"/>
      </w:pPr>
      <w:r>
        <w:rPr>
          <w:color w:val="404040"/>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04040"/>
          <w:spacing w:val="0"/>
          <w:w w:val="100"/>
          <w:position w:val="0"/>
          <w:shd w:val="clear" w:color="auto" w:fill="auto"/>
          <w:lang w:val="ru-RU" w:eastAsia="ru-RU" w:bidi="ru-RU"/>
        </w:rPr>
        <w:t xml:space="preserve">00Е269СЭ42В5Е0С8АЕЕ1 </w:t>
      </w:r>
      <w:r>
        <w:rPr>
          <w:color w:val="272727"/>
          <w:spacing w:val="0"/>
          <w:w w:val="100"/>
          <w:position w:val="0"/>
          <w:shd w:val="clear" w:color="auto" w:fill="auto"/>
          <w:lang w:val="ru-RU" w:eastAsia="ru-RU" w:bidi="ru-RU"/>
        </w:rPr>
        <w:t>6230169ВЕЕО6Е</w:t>
      </w:r>
      <w:r>
        <w:rPr>
          <w:color w:val="272727"/>
          <w:spacing w:val="0"/>
          <w:w w:val="100"/>
          <w:position w:val="0"/>
          <w:shd w:val="clear" w:color="auto" w:fill="auto"/>
          <w:lang w:val="ru-RU" w:eastAsia="ru-RU" w:bidi="ru-RU"/>
        </w:rPr>
        <w:t>4</w:t>
      </w:r>
    </w:p>
    <w:p>
      <w:pPr>
        <w:pStyle w:val="Style29"/>
        <w:keepNext w:val="0"/>
        <w:keepLines w:val="0"/>
        <w:widowControl w:val="0"/>
        <w:shd w:val="clear" w:color="auto" w:fill="auto"/>
        <w:bidi w:val="0"/>
        <w:spacing w:before="0" w:after="2480" w:line="240" w:lineRule="auto"/>
        <w:ind w:left="3100"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color w:val="404040"/>
          <w:spacing w:val="0"/>
          <w:w w:val="100"/>
          <w:position w:val="0"/>
          <w:shd w:val="clear" w:color="auto" w:fill="auto"/>
          <w:lang w:val="ru-RU" w:eastAsia="ru-RU" w:bidi="ru-RU"/>
        </w:rPr>
        <w:t xml:space="preserve">03.09.2024 </w:t>
      </w:r>
      <w:r>
        <w:rPr>
          <w:color w:val="27272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27.11.2025</w:t>
      </w:r>
    </w:p>
    <w:p>
      <w:pPr>
        <w:pStyle w:val="Style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Исп.Кушнер Ж.В.</w:t>
      </w:r>
    </w:p>
    <w:p>
      <w:pPr>
        <w:pStyle w:val="Style7"/>
        <w:keepNext w:val="0"/>
        <w:keepLines w:val="0"/>
        <w:widowControl w:val="0"/>
        <w:shd w:val="clear" w:color="auto" w:fill="auto"/>
        <w:bidi w:val="0"/>
        <w:spacing w:before="0" w:after="8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тел.8(4212) 32 60 54</w:t>
      </w:r>
    </w:p>
    <w:sectPr>
      <w:footnotePr>
        <w:pos w:val="pageBottom"/>
        <w:numFmt w:val="decimal"/>
        <w:numRestart w:val="continuous"/>
      </w:footnotePr>
      <w:type w:val="continuous"/>
      <w:pgSz w:w="11900" w:h="16840"/>
      <w:pgMar w:top="1426" w:right="546" w:bottom="131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10008870</wp:posOffset>
              </wp:positionV>
              <wp:extent cx="6470650" cy="106680"/>
              <wp:wrapNone/>
              <wp:docPr id="1" name="Shape 1"/>
              <a:graphic xmlns:a="http://schemas.openxmlformats.org/drawingml/2006/main">
                <a:graphicData uri="http://schemas.microsoft.com/office/word/2010/wordprocessingShape">
                  <wps:wsp>
                    <wps:cNvSpPr txBox="1"/>
                    <wps:spPr>
                      <a:xfrm>
                        <a:ext cx="6470650" cy="106680"/>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2024-12551</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8.10000000000002pt;width:509.5pt;height:8.40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2024-12551</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3105" cy="100330"/>
              <wp:wrapNone/>
              <wp:docPr id="3" name="Shape 3"/>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2024-12551</w:t>
                          </w:r>
                        </w:p>
                      </w:txbxContent>
                    </wps:txbx>
                    <wps:bodyPr wrap="none" lIns="0" tIns="0" rIns="0" bIns="0">
                      <a:spAutoFit/>
                    </wps:bodyPr>
                  </wps:wsp>
                </a:graphicData>
              </a:graphic>
            </wp:anchor>
          </w:drawing>
        </mc:Choice>
        <mc:Fallback>
          <w:pict>
            <v:shape id="_x0000_s1029" type="#_x0000_t202" style="position:absolute;margin-left:57.pt;margin-top:776.20000000000005pt;width:56.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2024-12551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Другое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3">
    <w:name w:val="Заголовок №1_"/>
    <w:basedOn w:val="DefaultParagraphFont"/>
    <w:link w:val="Style22"/>
    <w:rPr>
      <w:rFonts w:ascii="Times New Roman" w:eastAsia="Times New Roman" w:hAnsi="Times New Roman" w:cs="Times New Roman"/>
      <w:b w:val="0"/>
      <w:bCs w:val="0"/>
      <w:i w:val="0"/>
      <w:iCs w:val="0"/>
      <w:smallCaps w:val="0"/>
      <w:strike w:val="0"/>
      <w:sz w:val="28"/>
      <w:szCs w:val="28"/>
      <w:u w:val="none"/>
    </w:rPr>
  </w:style>
  <w:style w:type="character" w:customStyle="1" w:styleId="CharStyle28">
    <w:name w:val="Заголовок №2_"/>
    <w:basedOn w:val="DefaultParagraphFont"/>
    <w:link w:val="Style27"/>
    <w:rPr>
      <w:rFonts w:ascii="Times New Roman" w:eastAsia="Times New Roman" w:hAnsi="Times New Roman" w:cs="Times New Roman"/>
      <w:b w:val="0"/>
      <w:bCs w:val="0"/>
      <w:i w:val="0"/>
      <w:iCs w:val="0"/>
      <w:smallCaps w:val="0"/>
      <w:strike w:val="0"/>
      <w:sz w:val="28"/>
      <w:szCs w:val="28"/>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686868"/>
      <w:sz w:val="12"/>
      <w:szCs w:val="12"/>
      <w:u w:val="none"/>
    </w:rPr>
  </w:style>
  <w:style w:type="paragraph" w:customStyle="1" w:styleId="Style2">
    <w:name w:val="Основной текст (3)"/>
    <w:basedOn w:val="Normal"/>
    <w:link w:val="CharStyle3"/>
    <w:pPr>
      <w:widowControl w:val="0"/>
      <w:shd w:val="clear" w:color="auto" w:fill="auto"/>
      <w:spacing w:after="14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Другое"/>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2">
    <w:name w:val="Заголовок №1"/>
    <w:basedOn w:val="Normal"/>
    <w:link w:val="CharStyle23"/>
    <w:pPr>
      <w:widowControl w:val="0"/>
      <w:shd w:val="clear" w:color="auto" w:fill="auto"/>
      <w:ind w:firstLine="740"/>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27">
    <w:name w:val="Заголовок №2"/>
    <w:basedOn w:val="Normal"/>
    <w:link w:val="CharStyle28"/>
    <w:pPr>
      <w:widowControl w:val="0"/>
      <w:shd w:val="clear" w:color="auto" w:fill="auto"/>
      <w:ind w:firstLine="74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9">
    <w:name w:val="Основной текст (2)"/>
    <w:basedOn w:val="Normal"/>
    <w:link w:val="CharStyle30"/>
    <w:pPr>
      <w:widowControl w:val="0"/>
      <w:shd w:val="clear" w:color="auto" w:fill="auto"/>
      <w:ind w:left="3200"/>
    </w:pPr>
    <w:rPr>
      <w:rFonts w:ascii="Arial" w:eastAsia="Arial" w:hAnsi="Arial" w:cs="Arial"/>
      <w:b w:val="0"/>
      <w:bCs w:val="0"/>
      <w:i w:val="0"/>
      <w:iCs w:val="0"/>
      <w:smallCaps w:val="0"/>
      <w:strike w:val="0"/>
      <w:color w:val="68686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