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pPr>
      <w:r>
        <w:rPr>
          <w:color w:val="4360A3"/>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color w:val="4360A3"/>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"РАД"</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т&amp;@аис11оп-Ъои8е.ги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здравоохранения «Малгобекская центральная 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Ъо8рйа1-та1д@тай.ги;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1&lt;еНдоутаН1&lt;@1паП.П1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ГОСЗАКАЗА ИНГУШЕТИИ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хакатп@тай.ги, xауаVкап@та^1.^и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Демин А.В.</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906" w:bottom="1313" w:left="1140" w:header="0" w:footer="3" w:gutter="0"/>
          <w:pgNumType w:start="1"/>
          <w:cols w:num="2" w:space="720" w:equalWidth="0">
            <w:col w:w="4090" w:space="1176"/>
            <w:col w:w="4589"/>
          </w:cols>
          <w:noEndnote/>
          <w:titlePg/>
          <w:rtlGutter w:val="0"/>
          <w:docGrid w:linePitch="360"/>
        </w:sectPr>
      </w:pPr>
      <w:r>
        <w:rPr>
          <w:color w:val="000000"/>
          <w:spacing w:val="0"/>
          <w:w w:val="100"/>
          <w:position w:val="0"/>
          <w:shd w:val="clear" w:color="auto" w:fill="auto"/>
          <w:lang w:val="ru-RU" w:eastAsia="ru-RU" w:bidi="ru-RU"/>
        </w:rPr>
        <w:t>ш1етдетт@1181:.ги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05" w:right="0" w:bottom="992" w:left="0" w:header="0" w:footer="3" w:gutter="0"/>
          <w:cols w:space="720"/>
          <w:noEndnote/>
          <w:rtlGutter w:val="0"/>
          <w:docGrid w:linePitch="360"/>
        </w:sectPr>
      </w:pPr>
    </w:p>
    <w:p>
      <w:pPr>
        <w:pStyle w:val="Style13"/>
        <w:keepNext w:val="0"/>
        <w:keepLines w:val="0"/>
        <w:widowControl w:val="0"/>
        <w:shd w:val="clear" w:color="auto" w:fill="auto"/>
        <w:bidi w:val="0"/>
        <w:spacing w:before="0" w:after="8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 делу № 006/06/105-541/2024 о нарушении</w:t>
        <w:br/>
        <w:t>законодательства о контрактной системе</w:t>
      </w:r>
    </w:p>
    <w:p>
      <w:pPr>
        <w:pStyle w:val="Style13"/>
        <w:keepNext w:val="0"/>
        <w:keepLines w:val="0"/>
        <w:widowControl w:val="0"/>
        <w:shd w:val="clear" w:color="auto" w:fill="auto"/>
        <w:bidi w:val="0"/>
        <w:spacing w:before="0" w:after="0" w:line="240" w:lineRule="auto"/>
        <w:ind w:left="0" w:right="440" w:firstLine="0"/>
        <w:jc w:val="right"/>
        <w:rPr>
          <w:sz w:val="26"/>
          <w:szCs w:val="26"/>
        </w:rPr>
      </w:pPr>
      <w:r>
        <w:rPr>
          <w:color w:val="000000"/>
          <w:spacing w:val="0"/>
          <w:w w:val="100"/>
          <w:position w:val="0"/>
          <w:sz w:val="26"/>
          <w:szCs w:val="26"/>
          <w:shd w:val="clear" w:color="auto" w:fill="auto"/>
          <w:lang w:val="ru-RU" w:eastAsia="ru-RU" w:bidi="ru-RU"/>
        </w:rPr>
        <w:t>г. Назрань</w:t>
      </w:r>
    </w:p>
    <w:p>
      <w:pPr>
        <w:pStyle w:val="Style13"/>
        <w:keepNext w:val="0"/>
        <w:keepLines w:val="0"/>
        <w:widowControl w:val="0"/>
        <w:shd w:val="clear" w:color="auto" w:fill="auto"/>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Резолютивная часть решения объявлена 21 октября 2024 года</w:t>
      </w:r>
    </w:p>
    <w:p>
      <w:pPr>
        <w:pStyle w:val="Style13"/>
        <w:keepNext w:val="0"/>
        <w:keepLines w:val="0"/>
        <w:widowControl w:val="0"/>
        <w:shd w:val="clear" w:color="auto" w:fill="auto"/>
        <w:bidi w:val="0"/>
        <w:spacing w:before="0" w:after="28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В полном объеме решение изготовлено 23 октября 2024 года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 Б.Б. Точиев - руководительУправления;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А.А. Аушев - начальник отдела контроля торгов Управления;</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А.Б. Торшкоев - ведущий специалист-эксперт 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отсутствии представителя заказчика - ГБУЗ «Малгобекская центральная районная больница» (далее - Заказчик).</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присутствии представителей (до объявления перерыва):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заявителя жалобы: ИП Дёмина Артёма Викторовича - (далее - Заявитель) -Д. А. Викторовича;</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 - З.С. Хаутиева (председатель комитета).</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Все стороны уведомлены надлежащим образом, заявлений и ходатайств не поступало.</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0114500000824002032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3"/>
        <w:keepNext w:val="0"/>
        <w:keepLines w:val="0"/>
        <w:widowControl w:val="0"/>
        <w:shd w:val="clear" w:color="auto" w:fill="auto"/>
        <w:bidi w:val="0"/>
        <w:spacing w:before="0" w:after="0" w:line="252" w:lineRule="auto"/>
        <w:ind w:left="0" w:right="0" w:firstLine="0"/>
        <w:jc w:val="center"/>
        <w:rPr>
          <w:sz w:val="26"/>
          <w:szCs w:val="26"/>
        </w:rPr>
      </w:pPr>
      <w:r>
        <w:rPr>
          <w:color w:val="000000"/>
          <w:spacing w:val="0"/>
          <w:w w:val="100"/>
          <w:position w:val="0"/>
          <w:sz w:val="26"/>
          <w:szCs w:val="26"/>
          <w:shd w:val="clear" w:color="auto" w:fill="auto"/>
          <w:lang w:val="ru-RU" w:eastAsia="ru-RU" w:bidi="ru-RU"/>
        </w:rPr>
        <w:t>УСТАНОВИЛА:</w:t>
      </w:r>
    </w:p>
    <w:p>
      <w:pPr>
        <w:pStyle w:val="Style13"/>
        <w:keepNext w:val="0"/>
        <w:keepLines w:val="0"/>
        <w:widowControl w:val="0"/>
        <w:shd w:val="clear" w:color="auto" w:fill="auto"/>
        <w:bidi w:val="0"/>
        <w:spacing w:before="0" w:after="0" w:line="252"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\у\у\у./акирк1.до\лч1 (далее - ЕИС) размещено извещение о проведении Закупки.</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жалобе Уполномоченным органом нарушен порядок рассмотрения заявок участников торгов.</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3"/>
        <w:keepNext w:val="0"/>
        <w:keepLines w:val="0"/>
        <w:widowControl w:val="0"/>
        <w:numPr>
          <w:ilvl w:val="0"/>
          <w:numId w:val="1"/>
        </w:numPr>
        <w:shd w:val="clear" w:color="auto" w:fill="auto"/>
        <w:tabs>
          <w:tab w:pos="1072"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извещение об осуществлении закупки размещено в ЕИС - 11.10.2024;</w:t>
      </w:r>
    </w:p>
    <w:p>
      <w:pPr>
        <w:pStyle w:val="Style13"/>
        <w:keepNext w:val="0"/>
        <w:keepLines w:val="0"/>
        <w:widowControl w:val="0"/>
        <w:numPr>
          <w:ilvl w:val="0"/>
          <w:numId w:val="1"/>
        </w:numPr>
        <w:shd w:val="clear" w:color="auto" w:fill="auto"/>
        <w:tabs>
          <w:tab w:pos="1086"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способ определения поставщика (подрядчика, исполнителя) - закупка, осуществляемая в соответствии с частью 12 статьи 93 Закона о контрактной системе;</w:t>
      </w:r>
    </w:p>
    <w:p>
      <w:pPr>
        <w:pStyle w:val="Style13"/>
        <w:keepNext w:val="0"/>
        <w:keepLines w:val="0"/>
        <w:widowControl w:val="0"/>
        <w:numPr>
          <w:ilvl w:val="0"/>
          <w:numId w:val="1"/>
        </w:numPr>
        <w:shd w:val="clear" w:color="auto" w:fill="auto"/>
        <w:tabs>
          <w:tab w:pos="1096"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начальная (максимальная) цена контракта - 1 254 000,00 рублей;</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18.10.2024 Комиссией Управления был объявлен перерыв в рассмотрении жалобы и проведении внеплановой проверки до 21.10.2024.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3"/>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товарный знак (при наличии);</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12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sectPr>
          <w:footnotePr>
            <w:pos w:val="pageBottom"/>
            <w:numFmt w:val="decimal"/>
            <w:numRestart w:val="continuous"/>
          </w:footnotePr>
          <w:type w:val="continuous"/>
          <w:pgSz w:w="11900" w:h="16840"/>
          <w:pgMar w:top="805" w:right="535" w:bottom="992" w:left="1102" w:header="0" w:footer="3" w:gutter="0"/>
          <w:cols w:space="720"/>
          <w:noEndnote/>
          <w:rtlGutter w:val="0"/>
          <w:docGrid w:linePitch="360"/>
        </w:sectPr>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w:t>
      </w:r>
      <w:r>
        <w:rPr>
          <w:color w:val="000000"/>
          <w:spacing w:val="0"/>
          <w:w w:val="100"/>
          <w:position w:val="0"/>
          <w:sz w:val="24"/>
          <w:szCs w:val="24"/>
          <w:shd w:val="clear" w:color="auto" w:fill="auto"/>
          <w:lang w:val="ru-RU" w:eastAsia="ru-RU" w:bidi="ru-RU"/>
        </w:rPr>
        <w:t>2024-3518</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дополнения к жалобе следует, что Заявитель предлагает к поставке перчатки хирургические производства Группы Цзянсийских Медицинских оборудований Хунда Лтд.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«б» пункта 1 части 12 статьи 93 Закона о контрактной системе заявка Заявителя не содержит указание на товарный знак.</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учитывая, что Заявителем заявка подана в нарушение установленных требований Комиссией Управления жалоба на неправомерное отклонение заявки признана необоснованной.</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ходе проведения внеплановой проверки Комиссией Управления установлены следующие нарушения требований Закона о контрактной системе.</w:t>
      </w:r>
    </w:p>
    <w:p>
      <w:pPr>
        <w:pStyle w:val="Style13"/>
        <w:keepNext w:val="0"/>
        <w:keepLines w:val="0"/>
        <w:widowControl w:val="0"/>
        <w:shd w:val="clear" w:color="auto" w:fill="auto"/>
        <w:bidi w:val="0"/>
        <w:spacing w:before="0" w:after="0" w:line="276" w:lineRule="auto"/>
        <w:ind w:left="0" w:right="0" w:firstLine="720"/>
        <w:jc w:val="both"/>
        <w:rPr>
          <w:sz w:val="24"/>
          <w:szCs w:val="24"/>
        </w:rPr>
        <w:sectPr>
          <w:headerReference w:type="default" r:id="rId15"/>
          <w:footerReference w:type="default" r:id="rId16"/>
          <w:footnotePr>
            <w:pos w:val="pageBottom"/>
            <w:numFmt w:val="decimal"/>
            <w:numRestart w:val="continuous"/>
          </w:footnotePr>
          <w:pgSz w:w="11900" w:h="16840"/>
          <w:pgMar w:top="1707" w:right="542" w:bottom="800" w:left="1100" w:header="0" w:footer="372" w:gutter="0"/>
          <w:cols w:space="720"/>
          <w:noEndnote/>
          <w:rtlGutter w:val="0"/>
          <w:docGrid w:linePitch="360"/>
        </w:sectPr>
      </w:pPr>
      <w:r>
        <w:rPr>
          <w:b/>
          <w:bCs/>
          <w:color w:val="000000"/>
          <w:spacing w:val="0"/>
          <w:w w:val="100"/>
          <w:position w:val="0"/>
          <w:sz w:val="28"/>
          <w:szCs w:val="28"/>
          <w:shd w:val="clear" w:color="auto" w:fill="auto"/>
          <w:lang w:val="ru-RU" w:eastAsia="ru-RU" w:bidi="ru-RU"/>
        </w:rPr>
        <w:t xml:space="preserve">2. </w:t>
      </w:r>
      <w:r>
        <w:rPr>
          <w:color w:val="000000"/>
          <w:spacing w:val="0"/>
          <w:w w:val="100"/>
          <w:position w:val="0"/>
          <w:sz w:val="28"/>
          <w:szCs w:val="28"/>
          <w:shd w:val="clear" w:color="auto" w:fill="auto"/>
          <w:lang w:val="ru-RU" w:eastAsia="ru-RU" w:bidi="ru-RU"/>
        </w:rPr>
        <w:t xml:space="preserve">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w:t>
      </w:r>
      <w:r>
        <w:rPr>
          <w:color w:val="000000"/>
          <w:spacing w:val="0"/>
          <w:w w:val="100"/>
          <w:position w:val="0"/>
          <w:sz w:val="24"/>
          <w:szCs w:val="24"/>
          <w:shd w:val="clear" w:color="auto" w:fill="auto"/>
          <w:lang w:val="ru-RU" w:eastAsia="ru-RU" w:bidi="ru-RU"/>
        </w:rPr>
        <w:t>2024-3518</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товарный знак (при наличии);</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1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w:t>
      </w:r>
      <w:r>
        <w:rPr>
          <w:color w:val="000000"/>
          <w:spacing w:val="0"/>
          <w:w w:val="100"/>
          <w:position w:val="0"/>
          <w:shd w:val="clear" w:color="auto" w:fill="auto"/>
          <w:lang w:val="ru-RU" w:eastAsia="ru-RU" w:bidi="ru-RU"/>
        </w:rPr>
        <w:t>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sectPr>
          <w:headerReference w:type="default" r:id="rId17"/>
          <w:footerReference w:type="default" r:id="rId18"/>
          <w:footnotePr>
            <w:pos w:val="pageBottom"/>
            <w:numFmt w:val="decimal"/>
            <w:numRestart w:val="continuous"/>
          </w:footnotePr>
          <w:pgSz w:w="11900" w:h="16840"/>
          <w:pgMar w:top="1710" w:right="541" w:bottom="1211" w:left="1106" w:header="0" w:footer="3" w:gutter="0"/>
          <w:cols w:space="720"/>
          <w:noEndnote/>
          <w:rtlGutter w:val="0"/>
          <w:docGrid w:linePitch="360"/>
        </w:sectPr>
      </w:pPr>
      <w:r>
        <w:rPr>
          <w:color w:val="000000"/>
          <w:spacing w:val="0"/>
          <w:w w:val="100"/>
          <w:position w:val="0"/>
          <w:shd w:val="clear" w:color="auto" w:fill="auto"/>
          <w:lang w:val="ru-RU" w:eastAsia="ru-RU" w:bidi="ru-RU"/>
        </w:rPr>
        <w:t>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w:t>
      </w:r>
      <w:r>
        <w:rPr>
          <w:color w:val="000000"/>
          <w:spacing w:val="0"/>
          <w:w w:val="100"/>
          <w:position w:val="0"/>
          <w:u w:val="single"/>
          <w:shd w:val="clear" w:color="auto" w:fill="auto"/>
          <w:lang w:val="ru-RU" w:eastAsia="ru-RU" w:bidi="ru-RU"/>
        </w:rPr>
        <w:t>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дополнения к жалобе следует, что Заявитель предлагает к поставке перчатки хирургические производства Группы Цзянсийских Медицинских оборудований Хунда Лтд.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83"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Вместе с тем, в нарушение требований подпункта «б» пункта 1 части 12 статьи 93 Закона о контрактной системе заявка Заявителя не содержит указание на </w:t>
      </w:r>
      <w:r>
        <w:rPr>
          <w:color w:val="000000"/>
          <w:spacing w:val="0"/>
          <w:w w:val="100"/>
          <w:position w:val="0"/>
          <w:sz w:val="24"/>
          <w:szCs w:val="24"/>
          <w:shd w:val="clear" w:color="auto" w:fill="auto"/>
          <w:lang w:val="ru-RU" w:eastAsia="ru-RU" w:bidi="ru-RU"/>
        </w:rPr>
        <w:t>2024-3518</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товарный знак.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изложенного, Заявителем заявка подана в нарушение установленных требований.</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Вместе с тем, в нарушение требований подпункта «а» пункта 6 части 12 статьи 93 Закона о контрактной системе Уполномоченным органом в протоколе подведения итогов определения поставщика не отражены надлежащим образом все основания отклонения заявка участника торгов.</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6"/>
          <w:szCs w:val="26"/>
          <w:shd w:val="clear" w:color="auto" w:fill="auto"/>
          <w:lang w:val="ru-RU" w:eastAsia="ru-RU" w:bidi="ru-RU"/>
        </w:rPr>
        <w:t xml:space="preserve">3. </w:t>
      </w:r>
      <w:r>
        <w:rPr>
          <w:color w:val="000000"/>
          <w:spacing w:val="0"/>
          <w:w w:val="100"/>
          <w:position w:val="0"/>
          <w:shd w:val="clear" w:color="auto" w:fill="auto"/>
          <w:lang w:val="ru-RU" w:eastAsia="ru-RU" w:bidi="ru-RU"/>
        </w:rPr>
        <w:t>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11"/>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11"/>
        </w:numPr>
        <w:shd w:val="clear" w:color="auto" w:fill="auto"/>
        <w:tabs>
          <w:tab w:pos="183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товарный знак (при наличии);</w:t>
      </w:r>
    </w:p>
    <w:p>
      <w:pPr>
        <w:pStyle w:val="Style13"/>
        <w:keepNext w:val="0"/>
        <w:keepLines w:val="0"/>
        <w:widowControl w:val="0"/>
        <w:numPr>
          <w:ilvl w:val="0"/>
          <w:numId w:val="11"/>
        </w:numPr>
        <w:shd w:val="clear" w:color="auto" w:fill="auto"/>
        <w:tabs>
          <w:tab w:pos="18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11"/>
        </w:numPr>
        <w:shd w:val="clear" w:color="auto" w:fill="auto"/>
        <w:tabs>
          <w:tab w:pos="109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40"/>
        <w:jc w:val="both"/>
        <w:rPr>
          <w:sz w:val="24"/>
          <w:szCs w:val="24"/>
        </w:rPr>
        <w:sectPr>
          <w:headerReference w:type="default" r:id="rId19"/>
          <w:footerReference w:type="default" r:id="rId20"/>
          <w:footnotePr>
            <w:pos w:val="pageBottom"/>
            <w:numFmt w:val="decimal"/>
            <w:numRestart w:val="continuous"/>
          </w:footnotePr>
          <w:pgSz w:w="11900" w:h="16840"/>
          <w:pgMar w:top="1710" w:right="534" w:bottom="788" w:left="1099" w:header="0" w:footer="36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w:t>
      </w:r>
      <w:r>
        <w:rPr>
          <w:color w:val="000000"/>
          <w:spacing w:val="0"/>
          <w:w w:val="100"/>
          <w:position w:val="0"/>
          <w:sz w:val="24"/>
          <w:szCs w:val="24"/>
          <w:shd w:val="clear" w:color="auto" w:fill="auto"/>
          <w:lang w:val="ru-RU" w:eastAsia="ru-RU" w:bidi="ru-RU"/>
        </w:rPr>
        <w:t>2024-3518</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1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w:t>
      </w:r>
      <w:r>
        <w:rPr>
          <w:color w:val="000000"/>
          <w:spacing w:val="0"/>
          <w:w w:val="100"/>
          <w:position w:val="0"/>
          <w:shd w:val="clear" w:color="auto" w:fill="auto"/>
          <w:lang w:val="ru-RU" w:eastAsia="ru-RU" w:bidi="ru-RU"/>
        </w:rPr>
        <w:t>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заявки участников под номерами ЕР-216348 и ЕР-216349 признаны соответствующими требованиям Закона о контрактной системе и извещения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Комиссией Управления установлено, что данными участниками предложены к поставке перчатки медицинские производства ЖЕЙИАНГ ЖУОЫИ ИНДУСТРИАЛ &amp; ТРАДИНГ ЦО., ЛТД, имеющие соответствующий товарный знак.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в нарушение требований подпункта «б» пункта 1 части 12 статьи 93 Закона о контрактной системе заявки участников под номерами ЕР-216348 и ЕР- 216349 не содержат указание на товарный знак.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отмечено, что такие заявки подлежали отклонению ввиду не указания товарного знака предлагаемого к поставке товара.</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«а» пункта 6 части 12 статьи 93 Закона о контрактной системе Комиссией Управления перечисленные заявки</w:t>
        <w:br w:type="page"/>
      </w:r>
      <w:r>
        <w:rPr>
          <w:color w:val="000000"/>
          <w:spacing w:val="0"/>
          <w:w w:val="100"/>
          <w:position w:val="0"/>
          <w:shd w:val="clear" w:color="auto" w:fill="auto"/>
          <w:lang w:val="ru-RU" w:eastAsia="ru-RU" w:bidi="ru-RU"/>
        </w:rPr>
        <w:t>неправомерно признаны соответствующими требованиям Закона о контрактной системе и извещения Закупки.</w:t>
      </w:r>
    </w:p>
    <w:p>
      <w:pPr>
        <w:pStyle w:val="Style13"/>
        <w:keepNext w:val="0"/>
        <w:keepLines w:val="0"/>
        <w:widowControl w:val="0"/>
        <w:shd w:val="clear" w:color="auto" w:fill="auto"/>
        <w:bidi w:val="0"/>
        <w:spacing w:before="0" w:after="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статьями 99</w:t>
      </w:r>
      <w:r>
        <w:rPr>
          <w:color w:val="000000"/>
          <w:spacing w:val="0"/>
          <w:w w:val="100"/>
          <w:position w:val="0"/>
          <w:sz w:val="26"/>
          <w:szCs w:val="26"/>
          <w:shd w:val="clear" w:color="auto" w:fill="auto"/>
          <w:lang w:val="ru-RU" w:eastAsia="ru-RU" w:bidi="ru-RU"/>
        </w:rPr>
        <w:t>,</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106</w:t>
      </w:r>
      <w:r>
        <w:rPr>
          <w:color w:val="000080"/>
          <w:spacing w:val="0"/>
          <w:w w:val="100"/>
          <w:position w:val="0"/>
          <w:sz w:val="26"/>
          <w:szCs w:val="26"/>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Закона о контрактной системе,</w:t>
      </w:r>
    </w:p>
    <w:p>
      <w:pPr>
        <w:pStyle w:val="Style13"/>
        <w:keepNext w:val="0"/>
        <w:keepLines w:val="0"/>
        <w:widowControl w:val="0"/>
        <w:shd w:val="clear" w:color="auto" w:fill="auto"/>
        <w:bidi w:val="0"/>
        <w:spacing w:before="0" w:after="0" w:line="252"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РЕШИЛА:</w:t>
      </w:r>
    </w:p>
    <w:p>
      <w:pPr>
        <w:pStyle w:val="Style13"/>
        <w:keepNext w:val="0"/>
        <w:keepLines w:val="0"/>
        <w:widowControl w:val="0"/>
        <w:numPr>
          <w:ilvl w:val="0"/>
          <w:numId w:val="15"/>
        </w:numPr>
        <w:shd w:val="clear" w:color="auto" w:fill="auto"/>
        <w:tabs>
          <w:tab w:pos="107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Признать жалобу ИП Дёмина Артёма Викторовича необоснованной.</w:t>
      </w:r>
    </w:p>
    <w:p>
      <w:pPr>
        <w:pStyle w:val="Style13"/>
        <w:keepNext w:val="0"/>
        <w:keepLines w:val="0"/>
        <w:widowControl w:val="0"/>
        <w:numPr>
          <w:ilvl w:val="0"/>
          <w:numId w:val="15"/>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 xml:space="preserve">Признать в действиях Уполномоченного органа нарушения </w:t>
      </w:r>
      <w:r>
        <w:rPr>
          <w:color w:val="000000"/>
          <w:spacing w:val="0"/>
          <w:w w:val="100"/>
          <w:position w:val="0"/>
          <w:sz w:val="28"/>
          <w:szCs w:val="28"/>
          <w:shd w:val="clear" w:color="auto" w:fill="auto"/>
          <w:lang w:val="ru-RU" w:eastAsia="ru-RU" w:bidi="ru-RU"/>
        </w:rPr>
        <w:t>подпункта «б» пункта 1 и подпункта «а» пункта 6 части 12 статьи 93 Закона о контрактной системе</w:t>
      </w:r>
      <w:r>
        <w:rPr>
          <w:color w:val="000000"/>
          <w:spacing w:val="0"/>
          <w:w w:val="100"/>
          <w:position w:val="0"/>
          <w:sz w:val="26"/>
          <w:szCs w:val="26"/>
          <w:shd w:val="clear" w:color="auto" w:fill="auto"/>
          <w:lang w:val="ru-RU" w:eastAsia="ru-RU" w:bidi="ru-RU"/>
        </w:rPr>
        <w:t>.</w:t>
      </w:r>
    </w:p>
    <w:p>
      <w:pPr>
        <w:pStyle w:val="Style13"/>
        <w:keepNext w:val="0"/>
        <w:keepLines w:val="0"/>
        <w:widowControl w:val="0"/>
        <w:numPr>
          <w:ilvl w:val="0"/>
          <w:numId w:val="15"/>
        </w:numPr>
        <w:shd w:val="clear" w:color="auto" w:fill="auto"/>
        <w:tabs>
          <w:tab w:pos="109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Выдать обязательное для исполнения предписание.</w:t>
      </w:r>
    </w:p>
    <w:p>
      <w:pPr>
        <w:pStyle w:val="Style13"/>
        <w:keepNext w:val="0"/>
        <w:keepLines w:val="0"/>
        <w:widowControl w:val="0"/>
        <w:numPr>
          <w:ilvl w:val="0"/>
          <w:numId w:val="15"/>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3"/>
        <w:keepNext w:val="0"/>
        <w:keepLines w:val="0"/>
        <w:widowControl w:val="0"/>
        <w:numPr>
          <w:ilvl w:val="0"/>
          <w:numId w:val="15"/>
        </w:numPr>
        <w:shd w:val="clear" w:color="auto" w:fill="auto"/>
        <w:tabs>
          <w:tab w:pos="1093"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3"/>
        <w:keepNext w:val="0"/>
        <w:keepLines w:val="0"/>
        <w:widowControl w:val="0"/>
        <w:shd w:val="clear" w:color="auto" w:fill="auto"/>
        <w:tabs>
          <w:tab w:pos="7805" w:val="left"/>
        </w:tabs>
        <w:bidi w:val="0"/>
        <w:spacing w:before="0" w:after="580" w:line="252" w:lineRule="auto"/>
        <w:ind w:left="0" w:right="0" w:firstLine="720"/>
        <w:jc w:val="both"/>
        <w:rPr>
          <w:sz w:val="26"/>
          <w:szCs w:val="26"/>
        </w:rPr>
      </w:pPr>
      <w:r>
        <mc:AlternateContent>
          <mc:Choice Requires="wps">
            <w:drawing>
              <wp:anchor distT="0" distB="0" distL="114300" distR="114300" simplePos="0" relativeHeight="125829379" behindDoc="0" locked="0" layoutInCell="1" allowOverlap="1">
                <wp:simplePos x="0" y="0"/>
                <wp:positionH relativeFrom="page">
                  <wp:posOffset>5657850</wp:posOffset>
                </wp:positionH>
                <wp:positionV relativeFrom="paragraph">
                  <wp:posOffset>571500</wp:posOffset>
                </wp:positionV>
                <wp:extent cx="892810" cy="243840"/>
                <wp:wrapSquare wrapText="left"/>
                <wp:docPr id="19" name="Shape 19"/>
                <a:graphic xmlns:a="http://schemas.openxmlformats.org/drawingml/2006/main">
                  <a:graphicData uri="http://schemas.microsoft.com/office/word/2010/wordprocessingShape">
                    <wps:wsp>
                      <wps:cNvSpPr txBox="1"/>
                      <wps:spPr>
                        <a:xfrm>
                          <a:ext cx="892810" cy="24384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45" type="#_x0000_t202" style="position:absolute;margin-left:445.5pt;margin-top:45.pt;width:70.299999999999997pt;height:19.199999999999999pt;z-index:-12582937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Аушев</w:t>
                      </w:r>
                    </w:p>
                  </w:txbxContent>
                </v:textbox>
                <w10:wrap type="square" side="left" anchorx="page"/>
              </v:shape>
            </w:pict>
          </mc:Fallback>
        </mc:AlternateContent>
      </w:r>
      <w:r>
        <w:rPr>
          <w:color w:val="000000"/>
          <w:spacing w:val="0"/>
          <w:w w:val="100"/>
          <w:position w:val="0"/>
          <w:sz w:val="26"/>
          <w:szCs w:val="26"/>
          <w:shd w:val="clear" w:color="auto" w:fill="auto"/>
          <w:lang w:val="ru-RU" w:eastAsia="ru-RU" w:bidi="ru-RU"/>
        </w:rPr>
        <w:t>Председатель Комиссии:</w:t>
        <w:tab/>
        <w:t>Б.Б. Точиев</w:t>
      </w:r>
    </w:p>
    <w:p>
      <w:pPr>
        <w:pStyle w:val="Style13"/>
        <w:keepNext w:val="0"/>
        <w:keepLines w:val="0"/>
        <w:widowControl w:val="0"/>
        <w:shd w:val="clear" w:color="auto" w:fill="auto"/>
        <w:bidi w:val="0"/>
        <w:spacing w:before="0" w:after="5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r>
    </w:p>
    <w:p>
      <w:pPr>
        <w:pStyle w:val="Style13"/>
        <w:keepNext w:val="0"/>
        <w:keepLines w:val="0"/>
        <w:widowControl w:val="0"/>
        <w:shd w:val="clear" w:color="auto" w:fill="auto"/>
        <w:bidi w:val="0"/>
        <w:spacing w:before="0" w:after="5060" w:line="240" w:lineRule="auto"/>
        <w:ind w:left="0" w:right="740" w:firstLine="0"/>
        <w:jc w:val="right"/>
        <w:rPr>
          <w:sz w:val="26"/>
          <w:szCs w:val="26"/>
        </w:rPr>
      </w:pPr>
      <w:r>
        <w:rPr>
          <w:color w:val="000000"/>
          <w:spacing w:val="0"/>
          <w:w w:val="100"/>
          <w:position w:val="0"/>
          <w:sz w:val="26"/>
          <w:szCs w:val="26"/>
          <w:shd w:val="clear" w:color="auto" w:fill="auto"/>
          <w:lang w:val="ru-RU" w:eastAsia="ru-RU" w:bidi="ru-RU"/>
        </w:rPr>
        <w:t>А.Б. Торшкоев</w:t>
      </w:r>
    </w:p>
    <w:p>
      <w:pPr>
        <w:pStyle w:val="Style8"/>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21"/>
      <w:footerReference w:type="default" r:id="rId22"/>
      <w:footnotePr>
        <w:pos w:val="pageBottom"/>
        <w:numFmt w:val="decimal"/>
        <w:numRestart w:val="continuous"/>
      </w:footnotePr>
      <w:pgSz w:w="11900" w:h="16840"/>
      <w:pgMar w:top="1705" w:right="541" w:bottom="1211"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10016490</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wps:txbx>
                    <wps:bodyPr wrap="none" lIns="0" tIns="0" rIns="0" bIns="0">
                      <a:spAutoFit/>
                    </wps:bodyPr>
                  </wps:wsp>
                </a:graphicData>
              </a:graphic>
            </wp:anchor>
          </w:drawing>
        </mc:Choice>
        <mc:Fallback>
          <w:pict>
            <v:shape id="_x0000_s1031" type="#_x0000_t202" style="position:absolute;margin-left:56.950000000000003pt;margin-top:788.70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6430" cy="100330"/>
              <wp:wrapNone/>
              <wp:docPr id="7" name="Shape 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wps:txbx>
                    <wps:bodyPr wrap="none" lIns="0" tIns="0" rIns="0" bIns="0">
                      <a:spAutoFit/>
                    </wps:bodyPr>
                  </wps:wsp>
                </a:graphicData>
              </a:graphic>
            </wp:anchor>
          </w:drawing>
        </mc:Choice>
        <mc:Fallback>
          <w:pict>
            <v:shape id="_x0000_s1033" type="#_x0000_t202" style="position:absolute;margin-left:57.pt;margin-top:776.2000000000000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10016490</wp:posOffset>
              </wp:positionV>
              <wp:extent cx="646430" cy="100330"/>
              <wp:wrapNone/>
              <wp:docPr id="15" name="Shape 1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wps:txbx>
                    <wps:bodyPr wrap="none" lIns="0" tIns="0" rIns="0" bIns="0">
                      <a:spAutoFit/>
                    </wps:bodyPr>
                  </wps:wsp>
                </a:graphicData>
              </a:graphic>
            </wp:anchor>
          </w:drawing>
        </mc:Choice>
        <mc:Fallback>
          <w:pict>
            <v:shape id="_x0000_s1041" type="#_x0000_t202" style="position:absolute;margin-left:56.950000000000003pt;margin-top:788.70000000000005pt;width:50.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723265</wp:posOffset>
              </wp:positionH>
              <wp:positionV relativeFrom="page">
                <wp:posOffset>10016490</wp:posOffset>
              </wp:positionV>
              <wp:extent cx="646430" cy="100330"/>
              <wp:wrapNone/>
              <wp:docPr id="23" name="Shape 2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wps:txbx>
                    <wps:bodyPr wrap="none" lIns="0" tIns="0" rIns="0" bIns="0">
                      <a:spAutoFit/>
                    </wps:bodyPr>
                  </wps:wsp>
                </a:graphicData>
              </a:graphic>
            </wp:anchor>
          </w:drawing>
        </mc:Choice>
        <mc:Fallback>
          <w:pict>
            <v:shape id="_x0000_s1049" type="#_x0000_t202" style="position:absolute;margin-left:56.950000000000003pt;margin-top:788.70000000000005pt;width:50.89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3893185</wp:posOffset>
              </wp:positionH>
              <wp:positionV relativeFrom="page">
                <wp:posOffset>599440</wp:posOffset>
              </wp:positionV>
              <wp:extent cx="149225" cy="121920"/>
              <wp:wrapNone/>
              <wp:docPr id="3" name="Shape 3"/>
              <a:graphic xmlns:a="http://schemas.openxmlformats.org/drawingml/2006/main">
                <a:graphicData uri="http://schemas.microsoft.com/office/word/2010/wordprocessingShape">
                  <wps:wsp>
                    <wps:cNvSpPr txBox="1"/>
                    <wps:spPr>
                      <a:xfrm>
                        <a:ext cx="1492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55000000000001pt;margin-top:47.200000000000003pt;width:11.75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3920490</wp:posOffset>
              </wp:positionH>
              <wp:positionV relativeFrom="page">
                <wp:posOffset>765810</wp:posOffset>
              </wp:positionV>
              <wp:extent cx="82550" cy="121920"/>
              <wp:wrapNone/>
              <wp:docPr id="11" name="Shape 11"/>
              <a:graphic xmlns:a="http://schemas.openxmlformats.org/drawingml/2006/main">
                <a:graphicData uri="http://schemas.microsoft.com/office/word/2010/wordprocessingShape">
                  <wps:wsp>
                    <wps:cNvSpPr txBox="1"/>
                    <wps:spPr>
                      <a:xfrm>
                        <a:ext cx="825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69999999999999pt;margin-top:60.300000000000004pt;width:6.5pt;height:9.59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3893185</wp:posOffset>
              </wp:positionH>
              <wp:positionV relativeFrom="page">
                <wp:posOffset>599440</wp:posOffset>
              </wp:positionV>
              <wp:extent cx="149225" cy="121920"/>
              <wp:wrapNone/>
              <wp:docPr id="13" name="Shape 13"/>
              <a:graphic xmlns:a="http://schemas.openxmlformats.org/drawingml/2006/main">
                <a:graphicData uri="http://schemas.microsoft.com/office/word/2010/wordprocessingShape">
                  <wps:wsp>
                    <wps:cNvSpPr txBox="1"/>
                    <wps:spPr>
                      <a:xfrm>
                        <a:ext cx="1492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6.55000000000001pt;margin-top:47.200000000000003pt;width:11.75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3920490</wp:posOffset>
              </wp:positionH>
              <wp:positionV relativeFrom="page">
                <wp:posOffset>765810</wp:posOffset>
              </wp:positionV>
              <wp:extent cx="82550" cy="121920"/>
              <wp:wrapNone/>
              <wp:docPr id="17" name="Shape 17"/>
              <a:graphic xmlns:a="http://schemas.openxmlformats.org/drawingml/2006/main">
                <a:graphicData uri="http://schemas.microsoft.com/office/word/2010/wordprocessingShape">
                  <wps:wsp>
                    <wps:cNvSpPr txBox="1"/>
                    <wps:spPr>
                      <a:xfrm>
                        <a:ext cx="825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8.69999999999999pt;margin-top:60.300000000000004pt;width:6.5pt;height:9.5999999999999996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3893185</wp:posOffset>
              </wp:positionH>
              <wp:positionV relativeFrom="page">
                <wp:posOffset>599440</wp:posOffset>
              </wp:positionV>
              <wp:extent cx="149225" cy="121920"/>
              <wp:wrapNone/>
              <wp:docPr id="21" name="Shape 21"/>
              <a:graphic xmlns:a="http://schemas.openxmlformats.org/drawingml/2006/main">
                <a:graphicData uri="http://schemas.microsoft.com/office/word/2010/wordprocessingShape">
                  <wps:wsp>
                    <wps:cNvSpPr txBox="1"/>
                    <wps:spPr>
                      <a:xfrm>
                        <a:ext cx="149225"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6.55000000000001pt;margin-top:47.200000000000003pt;width:11.75pt;height:9.5999999999999996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single"/>
        <w:shd w:val="clear" w:color="auto" w:fill="auto"/>
        <w:lang w:val="ru-RU" w:eastAsia="ru-RU" w:bidi="ru-RU"/>
      </w:rPr>
    </w:lvl>
  </w:abstractNum>
  <w:abstractNum w:abstractNumId="4">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single"/>
        <w:shd w:val="clear" w:color="auto" w:fill="auto"/>
        <w:lang w:val="ru-RU" w:eastAsia="ru-RU" w:bidi="ru-RU"/>
      </w:rPr>
    </w:lvl>
  </w:abstractNum>
  <w:abstractNum w:abstractNumId="12">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2)"/>
    <w:basedOn w:val="Normal"/>
    <w:link w:val="CharStyle9"/>
    <w:pPr>
      <w:widowControl w:val="0"/>
      <w:shd w:val="clear" w:color="auto" w:fill="auto"/>
      <w:spacing w:after="23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s>
</file>