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after="200" w:line="240" w:lineRule="auto"/>
        <w:ind w:left="0" w:right="0" w:firstLine="0"/>
        <w:jc w:val="center"/>
      </w:pPr>
      <w:r>
        <w:rPr>
          <w:color w:val="4360A3"/>
          <w:spacing w:val="0"/>
          <w:w w:val="100"/>
          <w:position w:val="0"/>
          <w:shd w:val="clear" w:color="auto" w:fill="auto"/>
          <w:lang w:val="ru-RU" w:eastAsia="ru-RU" w:bidi="ru-RU"/>
        </w:rPr>
        <w:t>УПРАВЛЕНИЕ</w:t>
        <w:br/>
        <w:t>Федеральной антимонопольной службы</w:t>
        <w:br/>
        <w:t>по Республике Ингушетия</w:t>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Победы, 3, корп. «С»</w:t>
      </w:r>
    </w:p>
    <w:p>
      <w:pPr>
        <w:pStyle w:val="Style5"/>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г. Назрань, 386102</w:t>
        <w:br/>
        <w:t>тел./факс (8732) 22-87-28</w:t>
        <w:br/>
        <w:t>е-тай: 1о06@Га8.§оу.ги</w:t>
      </w:r>
    </w:p>
    <w:p>
      <w:pPr>
        <w:pStyle w:val="Style8"/>
        <w:keepNext w:val="0"/>
        <w:keepLines w:val="0"/>
        <w:widowControl w:val="0"/>
        <w:shd w:val="clear" w:color="auto" w:fill="auto"/>
        <w:tabs>
          <w:tab w:leader="underscore" w:pos="1762" w:val="left"/>
          <w:tab w:leader="underscore" w:pos="3926" w:val="left"/>
        </w:tabs>
        <w:bidi w:val="0"/>
        <w:spacing w:before="0" w:after="260" w:line="240" w:lineRule="auto"/>
        <w:ind w:left="0" w:right="0" w:firstLine="0"/>
        <w:jc w:val="left"/>
      </w:pPr>
      <w:r>
        <w:rPr>
          <w:color w:val="4360A3"/>
          <w:spacing w:val="0"/>
          <w:w w:val="100"/>
          <w:position w:val="0"/>
          <w:shd w:val="clear" w:color="auto" w:fill="auto"/>
          <w:lang w:val="ru-RU" w:eastAsia="ru-RU" w:bidi="ru-RU"/>
        </w:rPr>
        <w:tab/>
        <w:t xml:space="preserve"> №</w:t>
        <w:tab/>
      </w:r>
    </w:p>
    <w:p>
      <w:pPr>
        <w:pStyle w:val="Style1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АО "РАД"</w:t>
      </w:r>
    </w:p>
    <w:p>
      <w:pPr>
        <w:pStyle w:val="Style13"/>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т&amp;@аис11оп-Ъои8е.ги</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Государственное бюджетное учреждение здравоохранения «Малгобекская центральная районная больница»</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Ъо8рйа1-та1д@тай.ги;</w:t>
      </w:r>
    </w:p>
    <w:p>
      <w:pPr>
        <w:pStyle w:val="Style13"/>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1&lt;еНдоутаН1&lt;@1паП.П1</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КОМИТЕТ ГОСЗАКАЗА ИНГУШЕТИИ</w:t>
      </w:r>
    </w:p>
    <w:p>
      <w:pPr>
        <w:pStyle w:val="Style13"/>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хакатп@тай.ги, xауаVкап@та^1.^и</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ИП Демин А.В.</w:t>
      </w:r>
    </w:p>
    <w:p>
      <w:pPr>
        <w:pStyle w:val="Style13"/>
        <w:keepNext w:val="0"/>
        <w:keepLines w:val="0"/>
        <w:widowControl w:val="0"/>
        <w:shd w:val="clear" w:color="auto" w:fill="auto"/>
        <w:bidi w:val="0"/>
        <w:spacing w:before="0" w:after="0" w:line="240" w:lineRule="auto"/>
        <w:ind w:left="0" w:right="0" w:firstLine="0"/>
        <w:jc w:val="left"/>
        <w:sectPr>
          <w:headerReference w:type="default" r:id="rId9"/>
          <w:footerReference w:type="default" r:id="rId10"/>
          <w:headerReference w:type="first" r:id="rId11"/>
          <w:footerReference w:type="first" r:id="rId12"/>
          <w:footnotePr>
            <w:pos w:val="pageBottom"/>
            <w:numFmt w:val="decimal"/>
            <w:numRestart w:val="continuous"/>
          </w:footnotePr>
          <w:pgSz w:w="11900" w:h="16840"/>
          <w:pgMar w:top="284" w:right="906" w:bottom="1313" w:left="1140" w:header="0" w:footer="3" w:gutter="0"/>
          <w:pgNumType w:start="1"/>
          <w:cols w:num="2" w:space="720" w:equalWidth="0">
            <w:col w:w="4090" w:space="1176"/>
            <w:col w:w="4589"/>
          </w:cols>
          <w:noEndnote/>
          <w:titlePg/>
          <w:rtlGutter w:val="0"/>
          <w:docGrid w:linePitch="360"/>
        </w:sectPr>
      </w:pPr>
      <w:r>
        <w:rPr>
          <w:color w:val="000000"/>
          <w:spacing w:val="0"/>
          <w:w w:val="100"/>
          <w:position w:val="0"/>
          <w:shd w:val="clear" w:color="auto" w:fill="auto"/>
          <w:lang w:val="ru-RU" w:eastAsia="ru-RU" w:bidi="ru-RU"/>
        </w:rPr>
        <w:t>ш1етдетт@1181:.ги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 w:after="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805" w:right="0" w:bottom="992" w:left="0" w:header="0" w:footer="3" w:gutter="0"/>
          <w:cols w:space="720"/>
          <w:noEndnote/>
          <w:rtlGutter w:val="0"/>
          <w:docGrid w:linePitch="360"/>
        </w:sectPr>
      </w:pPr>
    </w:p>
    <w:p>
      <w:pPr>
        <w:pStyle w:val="Style13"/>
        <w:keepNext w:val="0"/>
        <w:keepLines w:val="0"/>
        <w:widowControl w:val="0"/>
        <w:shd w:val="clear" w:color="auto" w:fill="auto"/>
        <w:bidi w:val="0"/>
        <w:spacing w:before="0" w:after="80" w:line="240" w:lineRule="auto"/>
        <w:ind w:left="0" w:right="0" w:firstLine="0"/>
        <w:jc w:val="center"/>
        <w:rPr>
          <w:sz w:val="26"/>
          <w:szCs w:val="26"/>
        </w:rPr>
      </w:pPr>
      <w:r>
        <w:rPr>
          <w:color w:val="000000"/>
          <w:spacing w:val="0"/>
          <w:w w:val="100"/>
          <w:position w:val="0"/>
          <w:sz w:val="26"/>
          <w:szCs w:val="26"/>
          <w:shd w:val="clear" w:color="auto" w:fill="auto"/>
          <w:lang w:val="ru-RU" w:eastAsia="ru-RU" w:bidi="ru-RU"/>
        </w:rPr>
        <w:t>РЕШЕНИЕ</w:t>
      </w:r>
    </w:p>
    <w:p>
      <w:pPr>
        <w:pStyle w:val="Style13"/>
        <w:keepNext w:val="0"/>
        <w:keepLines w:val="0"/>
        <w:widowControl w:val="0"/>
        <w:shd w:val="clear" w:color="auto" w:fill="auto"/>
        <w:bidi w:val="0"/>
        <w:spacing w:before="0" w:after="0" w:line="240" w:lineRule="auto"/>
        <w:ind w:left="0" w:right="0" w:firstLine="0"/>
        <w:jc w:val="center"/>
        <w:rPr>
          <w:sz w:val="26"/>
          <w:szCs w:val="26"/>
        </w:rPr>
      </w:pPr>
      <w:r>
        <w:rPr>
          <w:color w:val="000000"/>
          <w:spacing w:val="0"/>
          <w:w w:val="100"/>
          <w:position w:val="0"/>
          <w:sz w:val="26"/>
          <w:szCs w:val="26"/>
          <w:shd w:val="clear" w:color="auto" w:fill="auto"/>
          <w:lang w:val="ru-RU" w:eastAsia="ru-RU" w:bidi="ru-RU"/>
        </w:rPr>
        <w:t>по делу № 006/06/105-540/2024 о нарушении</w:t>
        <w:br/>
        <w:t>законодательства о контрактной системе</w:t>
      </w:r>
    </w:p>
    <w:p>
      <w:pPr>
        <w:pStyle w:val="Style13"/>
        <w:keepNext w:val="0"/>
        <w:keepLines w:val="0"/>
        <w:widowControl w:val="0"/>
        <w:shd w:val="clear" w:color="auto" w:fill="auto"/>
        <w:bidi w:val="0"/>
        <w:spacing w:before="0" w:after="0" w:line="240" w:lineRule="auto"/>
        <w:ind w:left="0" w:right="440" w:firstLine="0"/>
        <w:jc w:val="right"/>
        <w:rPr>
          <w:sz w:val="26"/>
          <w:szCs w:val="26"/>
        </w:rPr>
      </w:pPr>
      <w:r>
        <w:rPr>
          <w:color w:val="000000"/>
          <w:spacing w:val="0"/>
          <w:w w:val="100"/>
          <w:position w:val="0"/>
          <w:sz w:val="26"/>
          <w:szCs w:val="26"/>
          <w:shd w:val="clear" w:color="auto" w:fill="auto"/>
          <w:lang w:val="ru-RU" w:eastAsia="ru-RU" w:bidi="ru-RU"/>
        </w:rPr>
        <w:t>г. Назрань</w:t>
      </w:r>
    </w:p>
    <w:p>
      <w:pPr>
        <w:pStyle w:val="Style13"/>
        <w:keepNext w:val="0"/>
        <w:keepLines w:val="0"/>
        <w:widowControl w:val="0"/>
        <w:shd w:val="clear" w:color="auto" w:fill="auto"/>
        <w:bidi w:val="0"/>
        <w:spacing w:before="0" w:after="0" w:line="240" w:lineRule="auto"/>
        <w:ind w:left="0" w:right="0" w:firstLine="0"/>
        <w:jc w:val="both"/>
        <w:rPr>
          <w:sz w:val="26"/>
          <w:szCs w:val="26"/>
        </w:rPr>
      </w:pPr>
      <w:r>
        <w:rPr>
          <w:color w:val="000000"/>
          <w:spacing w:val="0"/>
          <w:w w:val="100"/>
          <w:position w:val="0"/>
          <w:sz w:val="26"/>
          <w:szCs w:val="26"/>
          <w:shd w:val="clear" w:color="auto" w:fill="auto"/>
          <w:lang w:val="ru-RU" w:eastAsia="ru-RU" w:bidi="ru-RU"/>
        </w:rPr>
        <w:t>Резолютивная часть решения объявлена 21 октября 2024 года</w:t>
      </w:r>
    </w:p>
    <w:p>
      <w:pPr>
        <w:pStyle w:val="Style13"/>
        <w:keepNext w:val="0"/>
        <w:keepLines w:val="0"/>
        <w:widowControl w:val="0"/>
        <w:shd w:val="clear" w:color="auto" w:fill="auto"/>
        <w:bidi w:val="0"/>
        <w:spacing w:before="0" w:after="280" w:line="240" w:lineRule="auto"/>
        <w:ind w:left="0" w:right="0" w:firstLine="0"/>
        <w:jc w:val="both"/>
        <w:rPr>
          <w:sz w:val="26"/>
          <w:szCs w:val="26"/>
        </w:rPr>
      </w:pPr>
      <w:r>
        <w:rPr>
          <w:color w:val="000000"/>
          <w:spacing w:val="0"/>
          <w:w w:val="100"/>
          <w:position w:val="0"/>
          <w:sz w:val="26"/>
          <w:szCs w:val="26"/>
          <w:shd w:val="clear" w:color="auto" w:fill="auto"/>
          <w:lang w:val="ru-RU" w:eastAsia="ru-RU" w:bidi="ru-RU"/>
        </w:rPr>
        <w:t>В полном объеме решение изготовлено 23 октября 2024 года</w:t>
      </w:r>
    </w:p>
    <w:p>
      <w:pPr>
        <w:pStyle w:val="Style13"/>
        <w:keepNext w:val="0"/>
        <w:keepLines w:val="0"/>
        <w:widowControl w:val="0"/>
        <w:shd w:val="clear" w:color="auto" w:fill="auto"/>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Комиссия Управления Федеральной антимонопольной службы по Республике Ингушетия (далее - Управление) по контролю в сфере закупок (далее - Комиссия Управления) в составе:</w:t>
      </w:r>
    </w:p>
    <w:p>
      <w:pPr>
        <w:pStyle w:val="Style13"/>
        <w:keepNext w:val="0"/>
        <w:keepLines w:val="0"/>
        <w:widowControl w:val="0"/>
        <w:shd w:val="clear" w:color="auto" w:fill="auto"/>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Председатель комиссии: Б.Б. Точиев - руководительУправления;</w:t>
      </w:r>
    </w:p>
    <w:p>
      <w:pPr>
        <w:pStyle w:val="Style13"/>
        <w:keepNext w:val="0"/>
        <w:keepLines w:val="0"/>
        <w:widowControl w:val="0"/>
        <w:shd w:val="clear" w:color="auto" w:fill="auto"/>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Члены комиссии:</w:t>
      </w:r>
    </w:p>
    <w:p>
      <w:pPr>
        <w:pStyle w:val="Style13"/>
        <w:keepNext w:val="0"/>
        <w:keepLines w:val="0"/>
        <w:widowControl w:val="0"/>
        <w:shd w:val="clear" w:color="auto" w:fill="auto"/>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А.А. Аушев - начальник отдела контроля торгов Управления;</w:t>
      </w:r>
    </w:p>
    <w:p>
      <w:pPr>
        <w:pStyle w:val="Style13"/>
        <w:keepNext w:val="0"/>
        <w:keepLines w:val="0"/>
        <w:widowControl w:val="0"/>
        <w:shd w:val="clear" w:color="auto" w:fill="auto"/>
        <w:bidi w:val="0"/>
        <w:spacing w:before="0" w:after="28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А.Б. Торшкоев - ведущий специалист-эксперт Управления.</w:t>
      </w:r>
    </w:p>
    <w:p>
      <w:pPr>
        <w:pStyle w:val="Style13"/>
        <w:keepNext w:val="0"/>
        <w:keepLines w:val="0"/>
        <w:widowControl w:val="0"/>
        <w:shd w:val="clear" w:color="auto" w:fill="auto"/>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В отсутствии представителя заказчика - ГБУЗ «Малгобекская центральная районная больница» (далее - Заказчик).</w:t>
      </w:r>
    </w:p>
    <w:p>
      <w:pPr>
        <w:pStyle w:val="Style13"/>
        <w:keepNext w:val="0"/>
        <w:keepLines w:val="0"/>
        <w:widowControl w:val="0"/>
        <w:shd w:val="clear" w:color="auto" w:fill="auto"/>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В присутствии представителей (до объявления перерыва):</w:t>
      </w:r>
    </w:p>
    <w:p>
      <w:pPr>
        <w:pStyle w:val="Style13"/>
        <w:keepNext w:val="0"/>
        <w:keepLines w:val="0"/>
        <w:widowControl w:val="0"/>
        <w:shd w:val="clear" w:color="auto" w:fill="auto"/>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заявителя жалобы: ИП Дёмина Артёма Викторовича - (далее - Заявитель) -Д. А. Викторовича;</w:t>
      </w:r>
    </w:p>
    <w:p>
      <w:pPr>
        <w:pStyle w:val="Style13"/>
        <w:keepNext w:val="0"/>
        <w:keepLines w:val="0"/>
        <w:widowControl w:val="0"/>
        <w:shd w:val="clear" w:color="auto" w:fill="auto"/>
        <w:bidi w:val="0"/>
        <w:spacing w:before="0" w:after="28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уполномоченного органа - Комитета государственного заказа Республики Ингушетия (далее - Уполномоченный орган) - З.С. Хаутиева (председатель комитета).</w:t>
      </w:r>
    </w:p>
    <w:p>
      <w:pPr>
        <w:widowControl w:val="0"/>
        <w:spacing w:line="1" w:lineRule="exact"/>
      </w:pPr>
      <w:r>
        <w:drawing>
          <wp:anchor distT="12700" distB="0" distL="0" distR="0" simplePos="0" relativeHeight="125829378" behindDoc="0" locked="0" layoutInCell="1" allowOverlap="1">
            <wp:simplePos x="0" y="0"/>
            <wp:positionH relativeFrom="page">
              <wp:posOffset>714375</wp:posOffset>
            </wp:positionH>
            <wp:positionV relativeFrom="paragraph">
              <wp:posOffset>12700</wp:posOffset>
            </wp:positionV>
            <wp:extent cx="1517650" cy="29273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3"/>
                    <a:stretch/>
                  </pic:blipFill>
                  <pic:spPr>
                    <a:xfrm>
                      <a:ext cx="1517650" cy="292735"/>
                    </a:xfrm>
                    <a:prstGeom prst="rect"/>
                  </pic:spPr>
                </pic:pic>
              </a:graphicData>
            </a:graphic>
          </wp:anchor>
        </w:drawing>
      </w:r>
    </w:p>
    <w:p>
      <w:pPr>
        <w:pStyle w:val="Style13"/>
        <w:keepNext w:val="0"/>
        <w:keepLines w:val="0"/>
        <w:widowControl w:val="0"/>
        <w:shd w:val="clear" w:color="auto" w:fill="auto"/>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Все стороны уведомлены надлежащим образом, заявлений и ходатайств не поступало.</w:t>
      </w:r>
    </w:p>
    <w:p>
      <w:pPr>
        <w:pStyle w:val="Style13"/>
        <w:keepNext w:val="0"/>
        <w:keepLines w:val="0"/>
        <w:widowControl w:val="0"/>
        <w:shd w:val="clear" w:color="auto" w:fill="auto"/>
        <w:bidi w:val="0"/>
        <w:spacing w:before="0" w:after="28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Рассмотрев жалобу Заявителя на действия (бездействия) Заказчика и Уполномоченного органа) при проведении процедуры закупки № 0114500000824002031 (далее - Закупка), выразившиеся в нарушении норм Федерального закона №44-ФЗ от 05.04.2013г. «О контрактной системе в сфере закупок товаров, работ, услуг для обеспечения государственных и муниципальных нужд» (далее - Закон о контрактной системе), проведя внеплановую проверку в соответствии со статьями 99 и 106 Закона о контрактной системе,</w:t>
      </w:r>
    </w:p>
    <w:p>
      <w:pPr>
        <w:pStyle w:val="Style13"/>
        <w:keepNext w:val="0"/>
        <w:keepLines w:val="0"/>
        <w:widowControl w:val="0"/>
        <w:shd w:val="clear" w:color="auto" w:fill="auto"/>
        <w:bidi w:val="0"/>
        <w:spacing w:before="0" w:after="0" w:line="252" w:lineRule="auto"/>
        <w:ind w:left="0" w:right="0" w:firstLine="0"/>
        <w:jc w:val="center"/>
        <w:rPr>
          <w:sz w:val="26"/>
          <w:szCs w:val="26"/>
        </w:rPr>
      </w:pPr>
      <w:r>
        <w:rPr>
          <w:color w:val="000000"/>
          <w:spacing w:val="0"/>
          <w:w w:val="100"/>
          <w:position w:val="0"/>
          <w:sz w:val="26"/>
          <w:szCs w:val="26"/>
          <w:shd w:val="clear" w:color="auto" w:fill="auto"/>
          <w:lang w:val="ru-RU" w:eastAsia="ru-RU" w:bidi="ru-RU"/>
        </w:rPr>
        <w:t>УСТАНОВИЛА:</w:t>
      </w:r>
    </w:p>
    <w:p>
      <w:pPr>
        <w:pStyle w:val="Style13"/>
        <w:keepNext w:val="0"/>
        <w:keepLines w:val="0"/>
        <w:widowControl w:val="0"/>
        <w:shd w:val="clear" w:color="auto" w:fill="auto"/>
        <w:bidi w:val="0"/>
        <w:spacing w:before="0" w:after="0" w:line="252" w:lineRule="auto"/>
        <w:ind w:left="0" w:right="0" w:firstLine="720"/>
        <w:jc w:val="both"/>
        <w:rPr>
          <w:sz w:val="26"/>
          <w:szCs w:val="26"/>
        </w:rPr>
      </w:pPr>
      <w:r>
        <w:rPr>
          <w:color w:val="000000"/>
          <w:spacing w:val="0"/>
          <w:w w:val="100"/>
          <w:position w:val="0"/>
          <w:sz w:val="26"/>
          <w:szCs w:val="26"/>
          <w:shd w:val="clear" w:color="auto" w:fill="auto"/>
          <w:lang w:val="ru-RU" w:eastAsia="ru-RU" w:bidi="ru-RU"/>
        </w:rPr>
        <w:t>Уполномоченным органом в единой информационной системе в сети Интернет по размещению информации о размещении заказов \у\у\у./акирк1.до\лч1 (далее - ЕИС) размещено извещение о проведении Закупки.</w:t>
      </w:r>
    </w:p>
    <w:p>
      <w:pPr>
        <w:pStyle w:val="Style13"/>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Согласно жалобе Уполномоченным органом нарушен порядок рассмотрения заявки участника торгов.</w:t>
      </w:r>
    </w:p>
    <w:p>
      <w:pPr>
        <w:pStyle w:val="Style13"/>
        <w:keepNext w:val="0"/>
        <w:keepLines w:val="0"/>
        <w:widowControl w:val="0"/>
        <w:shd w:val="clear" w:color="auto" w:fill="auto"/>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В соответствии с извещением об осуществлении Закупки, протоколами, составленными при определении поставщика (подрядчика, исполнителя):</w:t>
      </w:r>
    </w:p>
    <w:p>
      <w:pPr>
        <w:pStyle w:val="Style13"/>
        <w:keepNext w:val="0"/>
        <w:keepLines w:val="0"/>
        <w:widowControl w:val="0"/>
        <w:numPr>
          <w:ilvl w:val="0"/>
          <w:numId w:val="1"/>
        </w:numPr>
        <w:shd w:val="clear" w:color="auto" w:fill="auto"/>
        <w:tabs>
          <w:tab w:pos="1072" w:val="left"/>
        </w:tabs>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извещение об осуществлении закупки размещено в ЕИС - 11.10.2024;</w:t>
      </w:r>
    </w:p>
    <w:p>
      <w:pPr>
        <w:pStyle w:val="Style13"/>
        <w:keepNext w:val="0"/>
        <w:keepLines w:val="0"/>
        <w:widowControl w:val="0"/>
        <w:numPr>
          <w:ilvl w:val="0"/>
          <w:numId w:val="1"/>
        </w:numPr>
        <w:shd w:val="clear" w:color="auto" w:fill="auto"/>
        <w:tabs>
          <w:tab w:pos="1086" w:val="left"/>
        </w:tabs>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способ определения поставщика (подрядчика, исполнителя) - закупка, осуществляемая в соответствии с частью 12 статьи 93 Закона о контрактной системе;</w:t>
      </w:r>
    </w:p>
    <w:p>
      <w:pPr>
        <w:pStyle w:val="Style13"/>
        <w:keepNext w:val="0"/>
        <w:keepLines w:val="0"/>
        <w:widowControl w:val="0"/>
        <w:numPr>
          <w:ilvl w:val="0"/>
          <w:numId w:val="1"/>
        </w:numPr>
        <w:shd w:val="clear" w:color="auto" w:fill="auto"/>
        <w:tabs>
          <w:tab w:pos="1096" w:val="left"/>
        </w:tabs>
        <w:bidi w:val="0"/>
        <w:spacing w:before="0" w:after="28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начальная (максимальная) цена контракта - 1 003 200,00 рублей;</w:t>
      </w:r>
    </w:p>
    <w:p>
      <w:pPr>
        <w:pStyle w:val="Style13"/>
        <w:keepNext w:val="0"/>
        <w:keepLines w:val="0"/>
        <w:widowControl w:val="0"/>
        <w:shd w:val="clear" w:color="auto" w:fill="auto"/>
        <w:bidi w:val="0"/>
        <w:spacing w:before="0" w:after="28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18.10.2024 Комиссией Управления был объявлен перерыв в рассмотрении жалобы и проведении внеплановой проверки до 21.10.2024.</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Изучив представленные документы и материалы, руководствуясь статьей 106 Закона о контрактной системе, Комиссия Управления пришла к следующим выводам.</w:t>
      </w:r>
    </w:p>
    <w:p>
      <w:pPr>
        <w:pStyle w:val="Style13"/>
        <w:keepNext w:val="0"/>
        <w:keepLines w:val="0"/>
        <w:widowControl w:val="0"/>
        <w:shd w:val="clear" w:color="auto" w:fill="auto"/>
        <w:bidi w:val="0"/>
        <w:spacing w:before="0" w:after="280" w:line="240" w:lineRule="auto"/>
        <w:ind w:left="0" w:right="0" w:firstLine="720"/>
        <w:jc w:val="both"/>
      </w:pPr>
      <w:r>
        <w:rPr>
          <w:b/>
          <w:bCs/>
          <w:color w:val="000000"/>
          <w:spacing w:val="0"/>
          <w:w w:val="100"/>
          <w:position w:val="0"/>
          <w:shd w:val="clear" w:color="auto" w:fill="auto"/>
          <w:lang w:val="ru-RU" w:eastAsia="ru-RU" w:bidi="ru-RU"/>
        </w:rPr>
        <w:t xml:space="preserve">1. </w:t>
      </w:r>
      <w:r>
        <w:rPr>
          <w:color w:val="000000"/>
          <w:spacing w:val="0"/>
          <w:w w:val="100"/>
          <w:position w:val="0"/>
          <w:shd w:val="clear" w:color="auto" w:fill="auto"/>
          <w:lang w:val="ru-RU" w:eastAsia="ru-RU" w:bidi="ru-RU"/>
        </w:rPr>
        <w:t>Пунктом 1 части 12 статьи 93 Закона о контрактной системе установлено, что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путем предоставления удаленного доступа к ним через информационно-телекоммуникационные сети, в том числе через информационно-телекоммуникационную сеть "Интернет" (далее в настоящей части также - товар). Годовой объем закупок, осуществляемых в таком порядке, не должен превышать сто миллионов рублей. Закупка товара в соответствии с настоящей частью осуществляется в следующем порядке: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1) в целях участия в проводимых на электронной площадке закупках, предусмотренных настоящей частью, участники закупки вправе сформировать на электронной площадке, подписать усиленной электронной подписью и разместить на такой электронной площадке предварительное предложение о поставке товаров (далее - предварительное предложение), содержащее в отношении каждого товара, предлагаемого таким участником закупки к поставкам:</w:t>
      </w:r>
    </w:p>
    <w:p>
      <w:pPr>
        <w:pStyle w:val="Style13"/>
        <w:keepNext w:val="0"/>
        <w:keepLines w:val="0"/>
        <w:widowControl w:val="0"/>
        <w:numPr>
          <w:ilvl w:val="0"/>
          <w:numId w:val="3"/>
        </w:numPr>
        <w:shd w:val="clear" w:color="auto" w:fill="auto"/>
        <w:tabs>
          <w:tab w:pos="109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наименование товара и его характеристики с использованием каталога товаров, работ, услуг для обеспечения государственных и муниципальных нужд;</w:t>
      </w:r>
    </w:p>
    <w:p>
      <w:pPr>
        <w:pStyle w:val="Style13"/>
        <w:keepNext w:val="0"/>
        <w:keepLines w:val="0"/>
        <w:widowControl w:val="0"/>
        <w:numPr>
          <w:ilvl w:val="0"/>
          <w:numId w:val="3"/>
        </w:numPr>
        <w:shd w:val="clear" w:color="auto" w:fill="auto"/>
        <w:tabs>
          <w:tab w:pos="1839" w:val="left"/>
        </w:tabs>
        <w:bidi w:val="0"/>
        <w:spacing w:before="0" w:after="0" w:line="240" w:lineRule="auto"/>
        <w:ind w:left="0" w:right="0" w:firstLine="740"/>
        <w:jc w:val="both"/>
      </w:pPr>
      <w:r>
        <w:rPr>
          <w:i/>
          <w:iCs/>
          <w:color w:val="000000"/>
          <w:spacing w:val="0"/>
          <w:w w:val="100"/>
          <w:position w:val="0"/>
          <w:u w:val="single"/>
          <w:shd w:val="clear" w:color="auto" w:fill="auto"/>
          <w:lang w:val="ru-RU" w:eastAsia="ru-RU" w:bidi="ru-RU"/>
        </w:rPr>
        <w:t>товарный знак (при наличии);</w:t>
      </w:r>
    </w:p>
    <w:p>
      <w:pPr>
        <w:pStyle w:val="Style13"/>
        <w:keepNext w:val="0"/>
        <w:keepLines w:val="0"/>
        <w:widowControl w:val="0"/>
        <w:numPr>
          <w:ilvl w:val="0"/>
          <w:numId w:val="3"/>
        </w:numPr>
        <w:shd w:val="clear" w:color="auto" w:fill="auto"/>
        <w:tabs>
          <w:tab w:pos="183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наименование страны происхождения товара;</w:t>
      </w:r>
    </w:p>
    <w:p>
      <w:pPr>
        <w:pStyle w:val="Style13"/>
        <w:keepNext w:val="0"/>
        <w:keepLines w:val="0"/>
        <w:widowControl w:val="0"/>
        <w:numPr>
          <w:ilvl w:val="0"/>
          <w:numId w:val="3"/>
        </w:numPr>
        <w:shd w:val="clear" w:color="auto" w:fill="auto"/>
        <w:tabs>
          <w:tab w:pos="1099" w:val="left"/>
        </w:tabs>
        <w:bidi w:val="0"/>
        <w:spacing w:before="0" w:after="0" w:line="240" w:lineRule="auto"/>
        <w:ind w:left="0" w:right="0" w:firstLine="740"/>
        <w:jc w:val="both"/>
      </w:pPr>
      <w:r>
        <w:rPr>
          <w:i/>
          <w:iCs/>
          <w:color w:val="000000"/>
          <w:spacing w:val="0"/>
          <w:w w:val="100"/>
          <w:position w:val="0"/>
          <w:u w:val="single"/>
          <w:shd w:val="clear" w:color="auto" w:fill="auto"/>
          <w:lang w:val="ru-RU" w:eastAsia="ru-RU" w:bidi="ru-RU"/>
        </w:rPr>
        <w:t>документ (или его копия), подтверждающий страну происхождения товара (в случае, если такой документ в отношении соответствующего товара предусмотрен нормативными правовыми актами, принятыми в соответствии с частями 3 и 4 статьи 14 настоящего Федерального закона). В случае отсутствия такого документа (или его копии) такой товар приравнивается к товару, происходящему из иностранного государства или группы иностранных государств;</w:t>
      </w:r>
    </w:p>
    <w:p>
      <w:pPr>
        <w:pStyle w:val="Style13"/>
        <w:keepNext w:val="0"/>
        <w:keepLines w:val="0"/>
        <w:widowControl w:val="0"/>
        <w:numPr>
          <w:ilvl w:val="0"/>
          <w:numId w:val="5"/>
        </w:numPr>
        <w:shd w:val="clear" w:color="auto" w:fill="auto"/>
        <w:tabs>
          <w:tab w:pos="109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цена (цены) единицы товара с учетом стоимости доставки, налогов, сборов и иных обязательных платежей, предусмотренных подпунктами "ж" и "з" настоящего пункта количества товара, предлагаемого участником закупки к поставкам, и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w:t>
      </w:r>
    </w:p>
    <w:p>
      <w:pPr>
        <w:pStyle w:val="Style13"/>
        <w:keepNext w:val="0"/>
        <w:keepLines w:val="0"/>
        <w:widowControl w:val="0"/>
        <w:numPr>
          <w:ilvl w:val="0"/>
          <w:numId w:val="5"/>
        </w:numPr>
        <w:shd w:val="clear" w:color="auto" w:fill="auto"/>
        <w:tabs>
          <w:tab w:pos="1124"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минимальное и (или) максимальное количество товара, предлагаемое участником закупки к поставкам. При этом такое количество товара может быть указано с учетом предусмотренных подпунктом "з" настоящего пункта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w:t>
      </w:r>
    </w:p>
    <w:p>
      <w:pPr>
        <w:pStyle w:val="Style13"/>
        <w:keepNext w:val="0"/>
        <w:keepLines w:val="0"/>
        <w:widowControl w:val="0"/>
        <w:numPr>
          <w:ilvl w:val="0"/>
          <w:numId w:val="5"/>
        </w:numPr>
        <w:shd w:val="clear" w:color="auto" w:fill="auto"/>
        <w:tabs>
          <w:tab w:pos="109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наименование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по общероссийскому (общероссийским) классификатору (классификаторам), используемому (используемым) для сопоставимости и автоматизированной обработки информации в разрезах административно-территориального деления, систематизации и однозначной идентификации на всей территории Российской Федерации муниципальных образований и населенных пунктов, входящих в их состав, в пределах территории (территорий) которого (которых) участник закупки предлагает товар к поставкам;</w:t>
      </w:r>
    </w:p>
    <w:p>
      <w:pPr>
        <w:pStyle w:val="Style13"/>
        <w:keepNext w:val="0"/>
        <w:keepLines w:val="0"/>
        <w:widowControl w:val="0"/>
        <w:numPr>
          <w:ilvl w:val="0"/>
          <w:numId w:val="5"/>
        </w:numPr>
        <w:shd w:val="clear" w:color="auto" w:fill="auto"/>
        <w:tabs>
          <w:tab w:pos="1099" w:val="left"/>
        </w:tabs>
        <w:bidi w:val="0"/>
        <w:spacing w:before="0" w:after="0" w:line="240" w:lineRule="auto"/>
        <w:ind w:left="0" w:right="0" w:firstLine="740"/>
        <w:jc w:val="both"/>
        <w:sectPr>
          <w:footnotePr>
            <w:pos w:val="pageBottom"/>
            <w:numFmt w:val="decimal"/>
            <w:numRestart w:val="continuous"/>
          </w:footnotePr>
          <w:type w:val="continuous"/>
          <w:pgSz w:w="11900" w:h="16840"/>
          <w:pgMar w:top="805" w:right="535" w:bottom="992" w:left="1102" w:header="0" w:footer="3" w:gutter="0"/>
          <w:cols w:space="720"/>
          <w:noEndnote/>
          <w:rtlGutter w:val="0"/>
          <w:docGrid w:linePitch="360"/>
        </w:sectPr>
      </w:pPr>
      <w:r>
        <w:rPr>
          <w:color w:val="000000"/>
          <w:spacing w:val="0"/>
          <w:w w:val="100"/>
          <w:position w:val="0"/>
          <w:shd w:val="clear" w:color="auto" w:fill="auto"/>
          <w:lang w:val="ru-RU" w:eastAsia="ru-RU" w:bidi="ru-RU"/>
        </w:rPr>
        <w:t>срок действия предварительного предложения, который не может составлять более одного месяца с даты его размещения на электронной площадке. Участник закупки вправе продлить срок действия предварительного предложения</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или отозвать его в любой момент до направления оператором электронной площадки заявки заказчику в соответствии с подпунктом "в" пункта 5 настоящей части;</w:t>
      </w:r>
    </w:p>
    <w:p>
      <w:pPr>
        <w:pStyle w:val="Style13"/>
        <w:keepNext w:val="0"/>
        <w:keepLines w:val="0"/>
        <w:widowControl w:val="0"/>
        <w:numPr>
          <w:ilvl w:val="0"/>
          <w:numId w:val="5"/>
        </w:numPr>
        <w:shd w:val="clear" w:color="auto" w:fill="auto"/>
        <w:tabs>
          <w:tab w:pos="109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информацию и документы, предусмотренные подпунктами "н" - "п" пункта 1 части 1 статьи 43 настоящего Федерального закона;</w:t>
      </w:r>
    </w:p>
    <w:p>
      <w:pPr>
        <w:pStyle w:val="Style13"/>
        <w:keepNext w:val="0"/>
        <w:keepLines w:val="0"/>
        <w:widowControl w:val="0"/>
        <w:numPr>
          <w:ilvl w:val="0"/>
          <w:numId w:val="5"/>
        </w:numPr>
        <w:shd w:val="clear" w:color="auto" w:fill="auto"/>
        <w:tabs>
          <w:tab w:pos="109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минимальный (минимальные) срок (сроки) и (или) максимальный (максимальные) срок (сроки) поставки товара с учетом предусмотренных подпунктами "ж" и "з" настоящего пункта количества товара, предлагаемого участником закупки к поставкам, и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 Предусмотренные настоящим подпунктом сроки поставки товара исчисляются календарными днями и указываются в предварительном предложении в календарных днях. При этом неуказание в соответствии с настоящим подпунктом минимального (минимальных) или максимального (максимальных) срока (сроков) означает согласие участника закупки со сроком поставки товара, предусмотренным в извещении об осуществлении закупки в соответствии с подпунктом "в" пункта 3 настоящей части.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подпунктом «а» пункта 6 части 12 статьи 93 Закона о контрактной системе не позднее одного рабочего дня со дня, следующего за днем получения информации и документов, предусмотренных подпунктом «в» пункта 5 настоящей части, заказчик принимает в отношении каждой заявки решение о соответствии заявки на участие в закупке требованиям, установленным в извещении об осуществлении закупки, или решение об отклонении заявки на участие в закупке в случае непредставления информации и документов, предусмотренных подпунктом "в" пункта 5 настоящей части, несоответствия таких информации и документов требованиям, установленным в извещении об осуществлении закупки, либо в случаях, предусмотренных пунктами 3 - 6, 8 части 12 статьи 48 настоящего Федерального закона.</w:t>
      </w:r>
    </w:p>
    <w:p>
      <w:pPr>
        <w:pStyle w:val="Style13"/>
        <w:keepNext w:val="0"/>
        <w:keepLines w:val="0"/>
        <w:widowControl w:val="0"/>
        <w:shd w:val="clear" w:color="auto" w:fill="auto"/>
        <w:bidi w:val="0"/>
        <w:spacing w:before="0" w:after="0" w:line="240" w:lineRule="auto"/>
        <w:ind w:left="0" w:right="0" w:firstLine="740"/>
        <w:jc w:val="both"/>
        <w:rPr>
          <w:sz w:val="24"/>
          <w:szCs w:val="24"/>
        </w:rPr>
      </w:pPr>
      <w:r>
        <w:rPr>
          <w:color w:val="000000"/>
          <w:spacing w:val="0"/>
          <w:w w:val="100"/>
          <w:position w:val="0"/>
          <w:sz w:val="28"/>
          <w:szCs w:val="28"/>
          <w:shd w:val="clear" w:color="auto" w:fill="auto"/>
          <w:lang w:val="ru-RU" w:eastAsia="ru-RU" w:bidi="ru-RU"/>
        </w:rPr>
        <w:t xml:space="preserve">Также в соответствии с подпунктом «а» пункта 6 части 12 статьи 93 Закона о контрактной системе не позднее одного рабочего дня со дня, следующего за днем получения информации и документов, предусмотренных подпунктом «в» пункта 5 настоящей части, заказчик формирует с использованием электронной площадки протокол подведения итогов определения поставщика, подписывает его усиленной электронной подписью лица, имеющего право действовать от имени заказчика, и направляет оператору электронной площадки, который в течение одного часа с момента получения такого протокола размещает его в единой информационной системе и на электронной площадке, а также размещает в единой информационной системе (без размещения на официальном сайте) информацию, указанную в подпунктах "а" и "е" пункта 1 части 1 статьи 43 настоящего Федерального закона, идентификационные номера заявок и номера реестровых записей участников закупки, заявки которых направлены заказчику в соответствии с подпунктом "в" пункта 5 настоящей части. Такой протокол должен содержать дату подведения </w:t>
      </w:r>
      <w:r>
        <w:rPr>
          <w:color w:val="000000"/>
          <w:spacing w:val="0"/>
          <w:w w:val="100"/>
          <w:position w:val="0"/>
          <w:sz w:val="24"/>
          <w:szCs w:val="24"/>
          <w:shd w:val="clear" w:color="auto" w:fill="auto"/>
          <w:lang w:val="ru-RU" w:eastAsia="ru-RU" w:bidi="ru-RU"/>
        </w:rPr>
        <w:t>2024-3516</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итогов, идентификационные номера заявок и информацию о решениях, предусмотренных подпунктом "а" настоящего пункта, обоснование решения об отклонении заявки на участие в закупке (в случае принятия такого решения), содержащее указание на положения заявки на участие в закупке, а также положения настоящего Федерального закона, извещения об осуществлении закупки, которым не соответствует такая заявка, а также информацию, предусмотренную подпунктом "б" настоящего пункта.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от 14.10.2024 №ИЗТ1 заявка Заявителя отклонена ввиду того, что данный участник не представил документы подтверждающие страну происхождения товара.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Однако, из положений части 12 статьи 93 Закона о контрактной системе не следует, что заявка участника может быть отклонена на основании того, что участником не предоставлены документы, подтверждающие страну происхождения товара - в случае отсутствия таких документов (или их копий) такой товар приравнивается к товару, происходящему из иностранного государства или группы иностранных государств.</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на рассмотрении жалобы по существу представителем Уполномоченного органа даны пояснения, что заявка Заявителя подлежала отклонению также и по другому основанию, а именно в связи с не указанием товарного знака предлагаемого к поставке товара.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 согласно подпункта «б» пункта 1 части 12 статьи 93 Закона о контрактной системе заявка участника должна содержать указание на товарный знак при его наличии.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дополнения к жалобе следует, что Заявитель предлагает к поставке перчатки хирургические производства Группы Цзянсийских Медицинских оборудований Хунда Лтд.</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из предоставленных Уполномоченным органом сведений следует, что данные медицинские перчатки имеют товарный знак, согласно Реестру товарных знаков и знаков обслуживания Российской Федерации, размещенному на сайте Федерального государственного бюджетного учреждения «Федеральный институт промышленной собственности».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в нарушение требований подпункта «б» пункта 1 части 12 статьи 93 Закона о контрактной системе заявка Заявителя не содержит указание на товарный знак.</w:t>
      </w:r>
    </w:p>
    <w:p>
      <w:pPr>
        <w:pStyle w:val="Style13"/>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На основании изложенного, учитывая, что Заявителем заявка подана в нарушение установленных требований Комиссией Управления жалоба на неправомерное отклонение заявки признана необоснованной.</w:t>
      </w:r>
    </w:p>
    <w:p>
      <w:pPr>
        <w:pStyle w:val="Style13"/>
        <w:keepNext w:val="0"/>
        <w:keepLines w:val="0"/>
        <w:widowControl w:val="0"/>
        <w:shd w:val="clear" w:color="auto" w:fill="auto"/>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В ходе проведения внеплановой проверки Комиссией Управления установлены следующие нарушения требований Закона о контрактной системе.</w:t>
      </w:r>
    </w:p>
    <w:p>
      <w:pPr>
        <w:pStyle w:val="Style13"/>
        <w:keepNext w:val="0"/>
        <w:keepLines w:val="0"/>
        <w:widowControl w:val="0"/>
        <w:shd w:val="clear" w:color="auto" w:fill="auto"/>
        <w:bidi w:val="0"/>
        <w:spacing w:before="0" w:after="0" w:line="276" w:lineRule="auto"/>
        <w:ind w:left="0" w:right="0" w:firstLine="720"/>
        <w:jc w:val="both"/>
        <w:rPr>
          <w:sz w:val="24"/>
          <w:szCs w:val="24"/>
        </w:rPr>
        <w:sectPr>
          <w:headerReference w:type="default" r:id="rId15"/>
          <w:footerReference w:type="default" r:id="rId16"/>
          <w:footnotePr>
            <w:pos w:val="pageBottom"/>
            <w:numFmt w:val="decimal"/>
            <w:numRestart w:val="continuous"/>
          </w:footnotePr>
          <w:pgSz w:w="11900" w:h="16840"/>
          <w:pgMar w:top="1707" w:right="542" w:bottom="800" w:left="1100" w:header="0" w:footer="372" w:gutter="0"/>
          <w:cols w:space="720"/>
          <w:noEndnote/>
          <w:rtlGutter w:val="0"/>
          <w:docGrid w:linePitch="360"/>
        </w:sectPr>
      </w:pPr>
      <w:r>
        <w:rPr>
          <w:b/>
          <w:bCs/>
          <w:color w:val="000000"/>
          <w:spacing w:val="0"/>
          <w:w w:val="100"/>
          <w:position w:val="0"/>
          <w:sz w:val="28"/>
          <w:szCs w:val="28"/>
          <w:shd w:val="clear" w:color="auto" w:fill="auto"/>
          <w:lang w:val="ru-RU" w:eastAsia="ru-RU" w:bidi="ru-RU"/>
        </w:rPr>
        <w:t xml:space="preserve">2. </w:t>
      </w:r>
      <w:r>
        <w:rPr>
          <w:color w:val="000000"/>
          <w:spacing w:val="0"/>
          <w:w w:val="100"/>
          <w:position w:val="0"/>
          <w:sz w:val="28"/>
          <w:szCs w:val="28"/>
          <w:shd w:val="clear" w:color="auto" w:fill="auto"/>
          <w:lang w:val="ru-RU" w:eastAsia="ru-RU" w:bidi="ru-RU"/>
        </w:rPr>
        <w:t xml:space="preserve">Пунктом 1 части 12 статьи 93 Закона о контрактной системе установлено, что в случаях, предусмотренных пунктами 4 - 5.2 части 1 настоящей статьи, в электронной форме с использованием электронной площадки может осуществляться </w:t>
      </w:r>
      <w:r>
        <w:rPr>
          <w:color w:val="000000"/>
          <w:spacing w:val="0"/>
          <w:w w:val="100"/>
          <w:position w:val="0"/>
          <w:sz w:val="24"/>
          <w:szCs w:val="24"/>
          <w:shd w:val="clear" w:color="auto" w:fill="auto"/>
          <w:lang w:val="ru-RU" w:eastAsia="ru-RU" w:bidi="ru-RU"/>
        </w:rPr>
        <w:t>2024-3516</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путем предоставления удаленного доступа к ним через информационно-телекоммуникационные сети, в том числе через информационно-телекоммуникационную сеть "Интернет" (далее в настоящей части также - товар). Годовой объем закупок, осуществляемых в таком порядке, не должен превышать сто миллионов рублей. Закупка товара в соответствии с настоящей частью осуществляется в следующем порядке: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 в целях участия в проводимых на электронной площадке закупках, предусмотренных настоящей частью, участники закупки вправе сформировать на электронной площадке, подписать усиленной электронной подписью и разместить на такой электронной площадке предварительное предложение о поставке товаров (далее - предварительное предложение), содержащее в отношении каждого товара, предлагаемого таким участником закупки к поставкам:</w:t>
      </w:r>
    </w:p>
    <w:p>
      <w:pPr>
        <w:pStyle w:val="Style13"/>
        <w:keepNext w:val="0"/>
        <w:keepLines w:val="0"/>
        <w:widowControl w:val="0"/>
        <w:numPr>
          <w:ilvl w:val="0"/>
          <w:numId w:val="7"/>
        </w:numPr>
        <w:shd w:val="clear" w:color="auto" w:fill="auto"/>
        <w:tabs>
          <w:tab w:pos="109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наименование товара и его характеристики с использованием каталога товаров, работ, услуг для обеспечения государственных и муниципальных нужд;</w:t>
      </w:r>
    </w:p>
    <w:p>
      <w:pPr>
        <w:pStyle w:val="Style13"/>
        <w:keepNext w:val="0"/>
        <w:keepLines w:val="0"/>
        <w:widowControl w:val="0"/>
        <w:numPr>
          <w:ilvl w:val="0"/>
          <w:numId w:val="7"/>
        </w:numPr>
        <w:shd w:val="clear" w:color="auto" w:fill="auto"/>
        <w:tabs>
          <w:tab w:pos="181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товарный знак (при наличии);</w:t>
      </w:r>
    </w:p>
    <w:p>
      <w:pPr>
        <w:pStyle w:val="Style13"/>
        <w:keepNext w:val="0"/>
        <w:keepLines w:val="0"/>
        <w:widowControl w:val="0"/>
        <w:numPr>
          <w:ilvl w:val="0"/>
          <w:numId w:val="7"/>
        </w:numPr>
        <w:shd w:val="clear" w:color="auto" w:fill="auto"/>
        <w:tabs>
          <w:tab w:pos="181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наименование страны происхождения товара;</w:t>
      </w:r>
    </w:p>
    <w:p>
      <w:pPr>
        <w:pStyle w:val="Style13"/>
        <w:keepNext w:val="0"/>
        <w:keepLines w:val="0"/>
        <w:widowControl w:val="0"/>
        <w:numPr>
          <w:ilvl w:val="0"/>
          <w:numId w:val="7"/>
        </w:numPr>
        <w:shd w:val="clear" w:color="auto" w:fill="auto"/>
        <w:tabs>
          <w:tab w:pos="109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документ (или его копия), подтверждающий страну происхождения товара (в случае, если такой документ в отношении соответствующего товара предусмотрен нормативными правовыми актами, принятыми в соответствии с частями 3 и 4 статьи 14 настоящего Федерального закона). В случае отсутствия такого документа (или его копии) такой товар приравнивается к товару, происходящему из иностранного государства или группы иностранных государств;</w:t>
      </w:r>
    </w:p>
    <w:p>
      <w:pPr>
        <w:pStyle w:val="Style13"/>
        <w:keepNext w:val="0"/>
        <w:keepLines w:val="0"/>
        <w:widowControl w:val="0"/>
        <w:numPr>
          <w:ilvl w:val="0"/>
          <w:numId w:val="9"/>
        </w:numPr>
        <w:shd w:val="clear" w:color="auto" w:fill="auto"/>
        <w:tabs>
          <w:tab w:pos="109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цена (цены) единицы товара с учетом стоимости доставки, налогов, сборов и иных обязательных платежей, предусмотренных подпунктами "ж" и "з" настоящего пункта количества товара, предлагаемого участником закупки к поставкам, и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w:t>
      </w:r>
    </w:p>
    <w:p>
      <w:pPr>
        <w:pStyle w:val="Style13"/>
        <w:keepNext w:val="0"/>
        <w:keepLines w:val="0"/>
        <w:widowControl w:val="0"/>
        <w:numPr>
          <w:ilvl w:val="0"/>
          <w:numId w:val="9"/>
        </w:numPr>
        <w:shd w:val="clear" w:color="auto" w:fill="auto"/>
        <w:tabs>
          <w:tab w:pos="112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минимальное и (или) максимальное количество товара, предлагаемое участником закупки к поставкам. При этом такое количество товара может быть указано с учетом предусмотренных подпунктом "з" настоящего пункта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w:t>
      </w:r>
    </w:p>
    <w:p>
      <w:pPr>
        <w:pStyle w:val="Style13"/>
        <w:keepNext w:val="0"/>
        <w:keepLines w:val="0"/>
        <w:widowControl w:val="0"/>
        <w:numPr>
          <w:ilvl w:val="0"/>
          <w:numId w:val="9"/>
        </w:numPr>
        <w:shd w:val="clear" w:color="auto" w:fill="auto"/>
        <w:tabs>
          <w:tab w:pos="109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наименование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по </w:t>
      </w:r>
      <w:r>
        <w:rPr>
          <w:color w:val="000000"/>
          <w:spacing w:val="0"/>
          <w:w w:val="100"/>
          <w:position w:val="0"/>
          <w:shd w:val="clear" w:color="auto" w:fill="auto"/>
          <w:lang w:val="ru-RU" w:eastAsia="ru-RU" w:bidi="ru-RU"/>
        </w:rPr>
        <w:t>общероссийскому (общероссийским) классификатору (классификаторам), используемому (используемым) для сопоставимости и автоматизированной обработки информации в разрезах административно-территориального деления, систематизации и однозначной идентификации на всей территории Российской Федерации муниципальных образований и населенных пунктов, входящих в их состав, в пределах территории (территорий) которого (которых) участник закупки предлагает товар к поставкам;</w:t>
      </w:r>
    </w:p>
    <w:p>
      <w:pPr>
        <w:pStyle w:val="Style13"/>
        <w:keepNext w:val="0"/>
        <w:keepLines w:val="0"/>
        <w:widowControl w:val="0"/>
        <w:numPr>
          <w:ilvl w:val="0"/>
          <w:numId w:val="9"/>
        </w:numPr>
        <w:shd w:val="clear" w:color="auto" w:fill="auto"/>
        <w:tabs>
          <w:tab w:pos="109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срок действия предварительного предложения, который не может составлять более одного месяца с даты его размещения на электронной площадке. Участник закупки вправе продлить срок действия предварительного предложения или отозвать его в любой момент до направления оператором электронной площадки заявки заказчику в соответствии с подпунктом "в" пункта 5 настоящей части;</w:t>
      </w:r>
    </w:p>
    <w:p>
      <w:pPr>
        <w:pStyle w:val="Style13"/>
        <w:keepNext w:val="0"/>
        <w:keepLines w:val="0"/>
        <w:widowControl w:val="0"/>
        <w:numPr>
          <w:ilvl w:val="0"/>
          <w:numId w:val="9"/>
        </w:numPr>
        <w:shd w:val="clear" w:color="auto" w:fill="auto"/>
        <w:tabs>
          <w:tab w:pos="109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информацию и документы, предусмотренные подпунктами "н" - "п" пункта 1 части 1 статьи 43 настоящего Федерального закона;</w:t>
      </w:r>
    </w:p>
    <w:p>
      <w:pPr>
        <w:pStyle w:val="Style13"/>
        <w:keepNext w:val="0"/>
        <w:keepLines w:val="0"/>
        <w:widowControl w:val="0"/>
        <w:numPr>
          <w:ilvl w:val="0"/>
          <w:numId w:val="9"/>
        </w:numPr>
        <w:shd w:val="clear" w:color="auto" w:fill="auto"/>
        <w:tabs>
          <w:tab w:pos="109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минимальный (минимальные) срок (сроки) и (или) максимальный (максимальные) срок (сроки) поставки товара с учетом предусмотренных подпунктами "ж" и "з" настоящего пункта количества товара, предлагаемого участником закупки к поставкам, и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 Предусмотренные настоящим подпунктом сроки поставки товара исчисляются календарными днями и указываются в предварительном предложении в календарных днях. При этом неуказание в соответствии с настоящим подпунктом минимального (минимальных) или максимального (максимальных) срока (сроков) означает согласие участника закупки со сроком поставки товара, предусмотренным в извещении об осуществлении закупки в соответствии с подпунктом "в" пункта 3 настоящей части.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подпунктом «а» пункта 6 части 12 статьи 93 Закона о контрактной системе не позднее одного рабочего дня со дня, следующего за днем получения информации и документов, предусмотренных подпунктом «в» пункта 5 настоящей части, заказчик принимает в отношении каждой заявки решение о соответствии заявки на участие в закупке требованиям, установленным в извещении об осуществлении закупки, или решение об отклонении заявки на участие в закупке в случае непредставления информации и документов, предусмотренных подпунктом "в" пункта 5 настоящей части, несоответствия таких информации и документов требованиям, установленным в извещении об осуществлении закупки, либо в случаях, предусмотренных пунктами 3 - 6, 8 части 12 статьи 48 настоящего Федерального закона.</w:t>
      </w:r>
    </w:p>
    <w:p>
      <w:pPr>
        <w:pStyle w:val="Style13"/>
        <w:keepNext w:val="0"/>
        <w:keepLines w:val="0"/>
        <w:widowControl w:val="0"/>
        <w:shd w:val="clear" w:color="auto" w:fill="auto"/>
        <w:bidi w:val="0"/>
        <w:spacing w:before="0" w:after="0" w:line="240" w:lineRule="auto"/>
        <w:ind w:left="0" w:right="0" w:firstLine="720"/>
        <w:jc w:val="both"/>
        <w:sectPr>
          <w:headerReference w:type="default" r:id="rId17"/>
          <w:footerReference w:type="default" r:id="rId18"/>
          <w:footnotePr>
            <w:pos w:val="pageBottom"/>
            <w:numFmt w:val="decimal"/>
            <w:numRestart w:val="continuous"/>
          </w:footnotePr>
          <w:pgSz w:w="11900" w:h="16840"/>
          <w:pgMar w:top="1710" w:right="541" w:bottom="1211" w:left="1106" w:header="0" w:footer="3" w:gutter="0"/>
          <w:cols w:space="720"/>
          <w:noEndnote/>
          <w:rtlGutter w:val="0"/>
          <w:docGrid w:linePitch="360"/>
        </w:sectPr>
      </w:pPr>
      <w:r>
        <w:rPr>
          <w:color w:val="000000"/>
          <w:spacing w:val="0"/>
          <w:w w:val="100"/>
          <w:position w:val="0"/>
          <w:shd w:val="clear" w:color="auto" w:fill="auto"/>
          <w:lang w:val="ru-RU" w:eastAsia="ru-RU" w:bidi="ru-RU"/>
        </w:rPr>
        <w:t>Также в соответствии с подпунктом «а» пункта 6 части 12 статьи 93 Закона о контрактной системе не позднее одного рабочего дня со дня, следующего за днем получения информации и документов, предусмотренных подпунктом «в» пункта 5 настоящей части, заказчик формирует с использованием электронной площадки</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 xml:space="preserve">протокол подведения итогов определения поставщика, подписывает его усиленной электронной подписью лица, имеющего право действовать от имени заказчика, и направляет оператору электронной площадки, который в течение одного часа с момента получения такого протокола размещает его в единой информационной системе и на электронной площадке, а также размещает в единой информационной системе (без размещения на официальном сайте) информацию, указанную в подпунктах "а" и "е" пункта 1 части 1 статьи 43 настоящего Федерального закона, идентификационные номера заявок и номера реестровых записей участников закупки, заявки которых направлены заказчику в соответствии с подпунктом "в" пункта 5 настоящей части. </w:t>
      </w:r>
      <w:r>
        <w:rPr>
          <w:color w:val="000000"/>
          <w:spacing w:val="0"/>
          <w:w w:val="100"/>
          <w:position w:val="0"/>
          <w:u w:val="single"/>
          <w:shd w:val="clear" w:color="auto" w:fill="auto"/>
          <w:lang w:val="ru-RU" w:eastAsia="ru-RU" w:bidi="ru-RU"/>
        </w:rPr>
        <w:t>Такой протокол должен содержать дату подведения итогов, идентификационные номера заявок и информацию о решениях, предусмотренных подпунктом "а" настоящего пункта, обоснование решения об отклонении заявки на участие в закупке (в случае принятия такого решения), содержащее указание на положения заявки на участие в закупке, а также положения настоящего Федерального закона, извещения об осуществлении закупки, которым не соответствует такая заявка, а также информацию, предусмотренную подпунктом "б" настоящего пункта.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от 14.10.2024 №ИЗТ1 заявка Заявителя отклонена ввиду того, что данный участник не представил документы подтверждающие страну происхождения товара.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Однако, из положений части 12 статьи 93 Закона о контрактной системе не следует, что заявка участника может быть отклонена на основании того, что участником не предоставлены документы, подтверждающие страну происхождения товара - в случае отсутствия таких документов (или их копий) такой товар приравнивается к товару, происходящему из иностранного государства или группы иностранных государств.</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Вместе с тем, на рассмотрении жалобы по существу представителем Уполномоченного органа даны пояснения, что заявка Заявителя подлежала отклонению также и по другому основанию, а именно в связи с не указанием товарного знака предлагаемого к поставке товара.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 согласно подпункта «б» пункта 1 части 12 статьи 93 Закона о контрактной системе заявка участника должна содержать указание на товарный знак при его наличии.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Из дополнения к жалобе следует, что Заявитель предлагает к поставке перчатки хирургические производства Группы Цзянсийских Медицинских оборудований Хунда Лтд.</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Однако, из предоставленных Уполномоченным органом сведений следует, что данные медицинские перчатки имеют товарный знак, согласно Реестру товарных знаков и знаков обслуживания Российской Федерации, размещенному на сайте Федерального государственного бюджетного учреждения «Федеральный институт промышленной собственности».</w:t>
      </w:r>
    </w:p>
    <w:p>
      <w:pPr>
        <w:pStyle w:val="Style13"/>
        <w:keepNext w:val="0"/>
        <w:keepLines w:val="0"/>
        <w:widowControl w:val="0"/>
        <w:shd w:val="clear" w:color="auto" w:fill="auto"/>
        <w:bidi w:val="0"/>
        <w:spacing w:before="0" w:after="0" w:line="283" w:lineRule="auto"/>
        <w:ind w:left="0" w:right="0" w:firstLine="740"/>
        <w:jc w:val="both"/>
        <w:rPr>
          <w:sz w:val="24"/>
          <w:szCs w:val="24"/>
        </w:rPr>
        <w:sectPr>
          <w:headerReference w:type="default" r:id="rId19"/>
          <w:footerReference w:type="default" r:id="rId20"/>
          <w:footnotePr>
            <w:pos w:val="pageBottom"/>
            <w:numFmt w:val="decimal"/>
            <w:numRestart w:val="continuous"/>
          </w:footnotePr>
          <w:pgSz w:w="11900" w:h="16840"/>
          <w:pgMar w:top="1710" w:right="531" w:bottom="788" w:left="1101" w:header="0" w:footer="360"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Вместе с тем, в нарушение требований подпункта «б» пункта 1 части 12 статьи 93 Закона о контрактной системе заявка Заявителя не содержит указание на </w:t>
      </w:r>
      <w:r>
        <w:rPr>
          <w:color w:val="000000"/>
          <w:spacing w:val="0"/>
          <w:w w:val="100"/>
          <w:position w:val="0"/>
          <w:sz w:val="24"/>
          <w:szCs w:val="24"/>
          <w:shd w:val="clear" w:color="auto" w:fill="auto"/>
          <w:lang w:val="ru-RU" w:eastAsia="ru-RU" w:bidi="ru-RU"/>
        </w:rPr>
        <w:t>2024-3516</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товарный знак.</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изложенного, Заявителем заявка подана в нарушение установленных требований.</w:t>
      </w:r>
    </w:p>
    <w:p>
      <w:pPr>
        <w:pStyle w:val="Style13"/>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Вместе с тем, в нарушение требований подпункта «а» пункта 6 части 12 статьи 93 Закона о контрактной системе Уполномоченным органом в протоколе подведения итогов определения поставщика не отражены надлежащим образом все основания отклонения заявка участника торгов.</w:t>
      </w:r>
    </w:p>
    <w:p>
      <w:pPr>
        <w:pStyle w:val="Style13"/>
        <w:keepNext w:val="0"/>
        <w:keepLines w:val="0"/>
        <w:widowControl w:val="0"/>
        <w:shd w:val="clear" w:color="auto" w:fill="auto"/>
        <w:bidi w:val="0"/>
        <w:spacing w:before="0" w:after="8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Исходя из изложенного, информации, представленной Заявителем, заказчиком, а также информации, полученной Комиссией Управления при проведении внеплановой проверки, Комиссия, руководствуясь</w:t>
      </w:r>
      <w:r>
        <w:rPr>
          <w:color w:val="000000"/>
          <w:spacing w:val="0"/>
          <w:w w:val="100"/>
          <w:position w:val="0"/>
          <w:sz w:val="26"/>
          <w:szCs w:val="26"/>
          <w:shd w:val="clear" w:color="auto" w:fill="auto"/>
          <w:lang w:val="ru-RU" w:eastAsia="ru-RU" w:bidi="ru-RU"/>
        </w:rPr>
        <w:t xml:space="preserve"> </w:t>
      </w:r>
      <w:r>
        <w:rPr>
          <w:color w:val="000080"/>
          <w:spacing w:val="0"/>
          <w:w w:val="100"/>
          <w:position w:val="0"/>
          <w:sz w:val="26"/>
          <w:szCs w:val="26"/>
          <w:u w:val="single"/>
          <w:shd w:val="clear" w:color="auto" w:fill="auto"/>
          <w:lang w:val="ru-RU" w:eastAsia="ru-RU" w:bidi="ru-RU"/>
        </w:rPr>
        <w:t>статьями 99</w:t>
      </w:r>
      <w:r>
        <w:rPr>
          <w:color w:val="000000"/>
          <w:spacing w:val="0"/>
          <w:w w:val="100"/>
          <w:position w:val="0"/>
          <w:sz w:val="26"/>
          <w:szCs w:val="26"/>
          <w:shd w:val="clear" w:color="auto" w:fill="auto"/>
          <w:lang w:val="ru-RU" w:eastAsia="ru-RU" w:bidi="ru-RU"/>
        </w:rPr>
        <w:t>,</w:t>
      </w:r>
      <w:r>
        <w:rPr>
          <w:color w:val="000000"/>
          <w:spacing w:val="0"/>
          <w:w w:val="100"/>
          <w:position w:val="0"/>
          <w:sz w:val="26"/>
          <w:szCs w:val="26"/>
          <w:shd w:val="clear" w:color="auto" w:fill="auto"/>
          <w:lang w:val="ru-RU" w:eastAsia="ru-RU" w:bidi="ru-RU"/>
        </w:rPr>
        <w:t xml:space="preserve"> </w:t>
      </w:r>
      <w:r>
        <w:rPr>
          <w:color w:val="000080"/>
          <w:spacing w:val="0"/>
          <w:w w:val="100"/>
          <w:position w:val="0"/>
          <w:sz w:val="26"/>
          <w:szCs w:val="26"/>
          <w:u w:val="single"/>
          <w:shd w:val="clear" w:color="auto" w:fill="auto"/>
          <w:lang w:val="ru-RU" w:eastAsia="ru-RU" w:bidi="ru-RU"/>
        </w:rPr>
        <w:t>106</w:t>
      </w:r>
      <w:r>
        <w:rPr>
          <w:color w:val="000080"/>
          <w:spacing w:val="0"/>
          <w:w w:val="100"/>
          <w:position w:val="0"/>
          <w:sz w:val="26"/>
          <w:szCs w:val="26"/>
          <w:shd w:val="clear" w:color="auto" w:fill="auto"/>
          <w:lang w:val="ru-RU" w:eastAsia="ru-RU" w:bidi="ru-RU"/>
        </w:rPr>
        <w:t xml:space="preserve"> </w:t>
      </w:r>
      <w:r>
        <w:rPr>
          <w:color w:val="000000"/>
          <w:spacing w:val="0"/>
          <w:w w:val="100"/>
          <w:position w:val="0"/>
          <w:sz w:val="26"/>
          <w:szCs w:val="26"/>
          <w:shd w:val="clear" w:color="auto" w:fill="auto"/>
          <w:lang w:val="ru-RU" w:eastAsia="ru-RU" w:bidi="ru-RU"/>
        </w:rPr>
        <w:t>Закона о контрактной системе,</w:t>
      </w:r>
    </w:p>
    <w:p>
      <w:pPr>
        <w:pStyle w:val="Style13"/>
        <w:keepNext w:val="0"/>
        <w:keepLines w:val="0"/>
        <w:widowControl w:val="0"/>
        <w:shd w:val="clear" w:color="auto" w:fill="auto"/>
        <w:bidi w:val="0"/>
        <w:spacing w:before="0" w:after="0" w:line="254" w:lineRule="auto"/>
        <w:ind w:left="0" w:right="0" w:firstLine="0"/>
        <w:jc w:val="center"/>
        <w:rPr>
          <w:sz w:val="26"/>
          <w:szCs w:val="26"/>
        </w:rPr>
      </w:pPr>
      <w:r>
        <w:rPr>
          <w:color w:val="000000"/>
          <w:spacing w:val="0"/>
          <w:w w:val="100"/>
          <w:position w:val="0"/>
          <w:sz w:val="26"/>
          <w:szCs w:val="26"/>
          <w:shd w:val="clear" w:color="auto" w:fill="auto"/>
          <w:lang w:val="ru-RU" w:eastAsia="ru-RU" w:bidi="ru-RU"/>
        </w:rPr>
        <w:t>РЕШИЛА:</w:t>
      </w:r>
    </w:p>
    <w:p>
      <w:pPr>
        <w:pStyle w:val="Style13"/>
        <w:keepNext w:val="0"/>
        <w:keepLines w:val="0"/>
        <w:widowControl w:val="0"/>
        <w:numPr>
          <w:ilvl w:val="0"/>
          <w:numId w:val="11"/>
        </w:numPr>
        <w:shd w:val="clear" w:color="auto" w:fill="auto"/>
        <w:tabs>
          <w:tab w:pos="1078" w:val="left"/>
        </w:tabs>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Признать жалобу ИП Дёмина Артёма Викторовича необоснованной.</w:t>
      </w:r>
    </w:p>
    <w:p>
      <w:pPr>
        <w:pStyle w:val="Style13"/>
        <w:keepNext w:val="0"/>
        <w:keepLines w:val="0"/>
        <w:widowControl w:val="0"/>
        <w:numPr>
          <w:ilvl w:val="0"/>
          <w:numId w:val="11"/>
        </w:numPr>
        <w:shd w:val="clear" w:color="auto" w:fill="auto"/>
        <w:tabs>
          <w:tab w:pos="1093" w:val="left"/>
        </w:tabs>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 xml:space="preserve">Признать в действиях Уполномоченного органа нарушение </w:t>
      </w:r>
      <w:r>
        <w:rPr>
          <w:color w:val="000000"/>
          <w:spacing w:val="0"/>
          <w:w w:val="100"/>
          <w:position w:val="0"/>
          <w:sz w:val="28"/>
          <w:szCs w:val="28"/>
          <w:shd w:val="clear" w:color="auto" w:fill="auto"/>
          <w:lang w:val="ru-RU" w:eastAsia="ru-RU" w:bidi="ru-RU"/>
        </w:rPr>
        <w:t>подпункта «а» пункта 6 части 12 статьи 93 Закона о контрактной системе</w:t>
      </w:r>
      <w:r>
        <w:rPr>
          <w:color w:val="000000"/>
          <w:spacing w:val="0"/>
          <w:w w:val="100"/>
          <w:position w:val="0"/>
          <w:sz w:val="26"/>
          <w:szCs w:val="26"/>
          <w:shd w:val="clear" w:color="auto" w:fill="auto"/>
          <w:lang w:val="ru-RU" w:eastAsia="ru-RU" w:bidi="ru-RU"/>
        </w:rPr>
        <w:t>.</w:t>
      </w:r>
    </w:p>
    <w:p>
      <w:pPr>
        <w:pStyle w:val="Style13"/>
        <w:keepNext w:val="0"/>
        <w:keepLines w:val="0"/>
        <w:widowControl w:val="0"/>
        <w:numPr>
          <w:ilvl w:val="0"/>
          <w:numId w:val="11"/>
        </w:numPr>
        <w:shd w:val="clear" w:color="auto" w:fill="auto"/>
        <w:tabs>
          <w:tab w:pos="1098" w:val="left"/>
        </w:tabs>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Выдать обязательное для исполнения предписание.</w:t>
      </w:r>
    </w:p>
    <w:p>
      <w:pPr>
        <w:pStyle w:val="Style13"/>
        <w:keepNext w:val="0"/>
        <w:keepLines w:val="0"/>
        <w:widowControl w:val="0"/>
        <w:numPr>
          <w:ilvl w:val="0"/>
          <w:numId w:val="11"/>
        </w:numPr>
        <w:shd w:val="clear" w:color="auto" w:fill="auto"/>
        <w:tabs>
          <w:tab w:pos="1093" w:val="left"/>
        </w:tabs>
        <w:bidi w:val="0"/>
        <w:spacing w:before="0" w:after="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Передать материалы дела должностному лицу Управления для решения вопроса о привлечении виновных должностных лиц к административной ответственности.</w:t>
      </w:r>
    </w:p>
    <w:p>
      <w:pPr>
        <w:pStyle w:val="Style13"/>
        <w:keepNext w:val="0"/>
        <w:keepLines w:val="0"/>
        <w:widowControl w:val="0"/>
        <w:numPr>
          <w:ilvl w:val="0"/>
          <w:numId w:val="11"/>
        </w:numPr>
        <w:shd w:val="clear" w:color="auto" w:fill="auto"/>
        <w:tabs>
          <w:tab w:pos="1093" w:val="left"/>
        </w:tabs>
        <w:bidi w:val="0"/>
        <w:spacing w:before="0" w:after="280" w:line="240" w:lineRule="auto"/>
        <w:ind w:left="0" w:right="0" w:firstLine="720"/>
        <w:jc w:val="both"/>
        <w:rPr>
          <w:sz w:val="26"/>
          <w:szCs w:val="26"/>
        </w:rPr>
      </w:pPr>
      <w:r>
        <w:rPr>
          <w:color w:val="000000"/>
          <w:spacing w:val="0"/>
          <w:w w:val="100"/>
          <w:position w:val="0"/>
          <w:sz w:val="26"/>
          <w:szCs w:val="26"/>
          <w:shd w:val="clear" w:color="auto" w:fill="auto"/>
          <w:lang w:val="ru-RU" w:eastAsia="ru-RU" w:bidi="ru-RU"/>
        </w:rPr>
        <w:t>В соответствии со статьи 106 Закона о контрактной системе направить настоящее решение сторонам.</w:t>
      </w:r>
    </w:p>
    <w:p>
      <w:pPr>
        <w:pStyle w:val="Style13"/>
        <w:keepNext w:val="0"/>
        <w:keepLines w:val="0"/>
        <w:widowControl w:val="0"/>
        <w:shd w:val="clear" w:color="auto" w:fill="auto"/>
        <w:tabs>
          <w:tab w:pos="7762" w:val="left"/>
        </w:tabs>
        <w:bidi w:val="0"/>
        <w:spacing w:before="0" w:after="580" w:line="254" w:lineRule="auto"/>
        <w:ind w:left="0" w:right="0" w:firstLine="720"/>
        <w:jc w:val="both"/>
        <w:rPr>
          <w:sz w:val="26"/>
          <w:szCs w:val="26"/>
        </w:rPr>
      </w:pPr>
      <w:r>
        <w:rPr>
          <w:color w:val="000000"/>
          <w:spacing w:val="0"/>
          <w:w w:val="100"/>
          <w:position w:val="0"/>
          <w:sz w:val="26"/>
          <w:szCs w:val="26"/>
          <w:shd w:val="clear" w:color="auto" w:fill="auto"/>
          <w:lang w:val="ru-RU" w:eastAsia="ru-RU" w:bidi="ru-RU"/>
        </w:rPr>
        <w:t>Председатель Комиссии:</w:t>
        <w:tab/>
        <w:t>Б.Б. Точиев</w:t>
      </w:r>
    </w:p>
    <w:p>
      <w:pPr>
        <w:pStyle w:val="Style13"/>
        <w:keepNext w:val="0"/>
        <w:keepLines w:val="0"/>
        <w:widowControl w:val="0"/>
        <w:shd w:val="clear" w:color="auto" w:fill="auto"/>
        <w:tabs>
          <w:tab w:pos="7762" w:val="left"/>
        </w:tabs>
        <w:bidi w:val="0"/>
        <w:spacing w:before="0" w:after="580" w:line="254" w:lineRule="auto"/>
        <w:ind w:left="0" w:right="0" w:firstLine="720"/>
        <w:jc w:val="both"/>
        <w:rPr>
          <w:sz w:val="26"/>
          <w:szCs w:val="26"/>
        </w:rPr>
      </w:pPr>
      <w:r>
        <w:rPr>
          <w:color w:val="000000"/>
          <w:spacing w:val="0"/>
          <w:w w:val="100"/>
          <w:position w:val="0"/>
          <w:sz w:val="26"/>
          <w:szCs w:val="26"/>
          <w:shd w:val="clear" w:color="auto" w:fill="auto"/>
          <w:lang w:val="ru-RU" w:eastAsia="ru-RU" w:bidi="ru-RU"/>
        </w:rPr>
        <w:t>Члены комиссии:</w:t>
        <w:tab/>
        <w:t>А.А. Аушев</w:t>
      </w:r>
    </w:p>
    <w:p>
      <w:pPr>
        <w:pStyle w:val="Style13"/>
        <w:keepNext w:val="0"/>
        <w:keepLines w:val="0"/>
        <w:widowControl w:val="0"/>
        <w:shd w:val="clear" w:color="auto" w:fill="auto"/>
        <w:bidi w:val="0"/>
        <w:spacing w:before="0" w:after="3580" w:line="254" w:lineRule="auto"/>
        <w:ind w:left="0" w:right="740" w:firstLine="0"/>
        <w:jc w:val="right"/>
        <w:rPr>
          <w:sz w:val="26"/>
          <w:szCs w:val="26"/>
        </w:rPr>
      </w:pPr>
      <w:r>
        <w:rPr>
          <w:color w:val="000000"/>
          <w:spacing w:val="0"/>
          <w:w w:val="100"/>
          <w:position w:val="0"/>
          <w:sz w:val="26"/>
          <w:szCs w:val="26"/>
          <w:shd w:val="clear" w:color="auto" w:fill="auto"/>
          <w:lang w:val="ru-RU" w:eastAsia="ru-RU" w:bidi="ru-RU"/>
        </w:rPr>
        <w:t>А.Б. Торшкоев</w:t>
      </w:r>
    </w:p>
    <w:p>
      <w:pPr>
        <w:pStyle w:val="Style8"/>
        <w:keepNext w:val="0"/>
        <w:keepLines w:val="0"/>
        <w:widowControl w:val="0"/>
        <w:shd w:val="clear" w:color="auto" w:fill="auto"/>
        <w:bidi w:val="0"/>
        <w:spacing w:before="0" w:after="420" w:line="240" w:lineRule="auto"/>
        <w:ind w:left="0" w:right="0" w:firstLine="720"/>
        <w:jc w:val="both"/>
      </w:pPr>
      <w:r>
        <w:rPr>
          <w:color w:val="000000"/>
          <w:spacing w:val="0"/>
          <w:w w:val="100"/>
          <w:position w:val="0"/>
          <w:shd w:val="clear" w:color="auto" w:fill="auto"/>
          <w:lang w:val="ru-RU" w:eastAsia="ru-RU" w:bidi="ru-RU"/>
        </w:rPr>
        <w:t>Настоящее решение (предписание)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w:t>
      </w:r>
    </w:p>
    <w:sectPr>
      <w:headerReference w:type="default" r:id="rId21"/>
      <w:footerReference w:type="default" r:id="rId22"/>
      <w:footnotePr>
        <w:pos w:val="pageBottom"/>
        <w:numFmt w:val="decimal"/>
        <w:numRestart w:val="continuous"/>
      </w:footnotePr>
      <w:pgSz w:w="11900" w:h="16840"/>
      <w:pgMar w:top="1710" w:right="541" w:bottom="1686"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10016490</wp:posOffset>
              </wp:positionV>
              <wp:extent cx="648970" cy="100330"/>
              <wp:wrapNone/>
              <wp:docPr id="5" name="Shape 5"/>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2024-3516</w:t>
                          </w:r>
                        </w:p>
                      </w:txbxContent>
                    </wps:txbx>
                    <wps:bodyPr wrap="none" lIns="0" tIns="0" rIns="0" bIns="0">
                      <a:spAutoFit/>
                    </wps:bodyPr>
                  </wps:wsp>
                </a:graphicData>
              </a:graphic>
            </wp:anchor>
          </w:drawing>
        </mc:Choice>
        <mc:Fallback>
          <w:pict>
            <v:shape id="_x0000_s1031" type="#_x0000_t202" style="position:absolute;margin-left:57.pt;margin-top:788.7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2024-3516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9857740</wp:posOffset>
              </wp:positionV>
              <wp:extent cx="648970" cy="100330"/>
              <wp:wrapNone/>
              <wp:docPr id="7" name="Shape 7"/>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2024-3516</w:t>
                          </w:r>
                        </w:p>
                      </w:txbxContent>
                    </wps:txbx>
                    <wps:bodyPr wrap="none" lIns="0" tIns="0" rIns="0" bIns="0">
                      <a:spAutoFit/>
                    </wps:bodyPr>
                  </wps:wsp>
                </a:graphicData>
              </a:graphic>
            </wp:anchor>
          </w:drawing>
        </mc:Choice>
        <mc:Fallback>
          <w:pict>
            <v:shape id="_x0000_s1033" type="#_x0000_t202" style="position:absolute;margin-left:57.pt;margin-top:776.20000000000005pt;width:51.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2024-3516</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723900</wp:posOffset>
              </wp:positionH>
              <wp:positionV relativeFrom="page">
                <wp:posOffset>10016490</wp:posOffset>
              </wp:positionV>
              <wp:extent cx="648970" cy="100330"/>
              <wp:wrapNone/>
              <wp:docPr id="15" name="Shape 15"/>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2024-3516</w:t>
                          </w:r>
                        </w:p>
                      </w:txbxContent>
                    </wps:txbx>
                    <wps:bodyPr wrap="none" lIns="0" tIns="0" rIns="0" bIns="0">
                      <a:spAutoFit/>
                    </wps:bodyPr>
                  </wps:wsp>
                </a:graphicData>
              </a:graphic>
            </wp:anchor>
          </w:drawing>
        </mc:Choice>
        <mc:Fallback>
          <w:pict>
            <v:shape id="_x0000_s1041" type="#_x0000_t202" style="position:absolute;margin-left:57.pt;margin-top:788.70000000000005pt;width:51.100000000000001pt;height:7.9000000000000004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2024-3516</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723900</wp:posOffset>
              </wp:positionH>
              <wp:positionV relativeFrom="page">
                <wp:posOffset>10016490</wp:posOffset>
              </wp:positionV>
              <wp:extent cx="648970" cy="100330"/>
              <wp:wrapNone/>
              <wp:docPr id="21" name="Shape 2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2024-3516</w:t>
                          </w:r>
                        </w:p>
                      </w:txbxContent>
                    </wps:txbx>
                    <wps:bodyPr wrap="none" lIns="0" tIns="0" rIns="0" bIns="0">
                      <a:spAutoFit/>
                    </wps:bodyPr>
                  </wps:wsp>
                </a:graphicData>
              </a:graphic>
            </wp:anchor>
          </w:drawing>
        </mc:Choice>
        <mc:Fallback>
          <w:pict>
            <v:shape id="_x0000_s1047" type="#_x0000_t202" style="position:absolute;margin-left:57.pt;margin-top:788.70000000000005pt;width:51.100000000000001pt;height:7.9000000000000004pt;z-index:-18874404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2024-3516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3924300</wp:posOffset>
              </wp:positionH>
              <wp:positionV relativeFrom="page">
                <wp:posOffset>599440</wp:posOffset>
              </wp:positionV>
              <wp:extent cx="73025" cy="125095"/>
              <wp:wrapNone/>
              <wp:docPr id="3" name="Shape 3"/>
              <a:graphic xmlns:a="http://schemas.openxmlformats.org/drawingml/2006/main">
                <a:graphicData uri="http://schemas.microsoft.com/office/word/2010/wordprocessingShape">
                  <wps:wsp>
                    <wps:cNvSpPr txBox="1"/>
                    <wps:spPr>
                      <a:xfrm>
                        <a:ext cx="73025"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pt;margin-top:47.200000000000003pt;width:5.75pt;height:9.8499999999999996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3920490</wp:posOffset>
              </wp:positionH>
              <wp:positionV relativeFrom="page">
                <wp:posOffset>765810</wp:posOffset>
              </wp:positionV>
              <wp:extent cx="82550" cy="121920"/>
              <wp:wrapNone/>
              <wp:docPr id="11" name="Shape 11"/>
              <a:graphic xmlns:a="http://schemas.openxmlformats.org/drawingml/2006/main">
                <a:graphicData uri="http://schemas.microsoft.com/office/word/2010/wordprocessingShape">
                  <wps:wsp>
                    <wps:cNvSpPr txBox="1"/>
                    <wps:spPr>
                      <a:xfrm>
                        <a:ext cx="82550"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7" type="#_x0000_t202" style="position:absolute;margin-left:308.69999999999999pt;margin-top:60.300000000000004pt;width:6.5pt;height:9.5999999999999996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3924300</wp:posOffset>
              </wp:positionH>
              <wp:positionV relativeFrom="page">
                <wp:posOffset>599440</wp:posOffset>
              </wp:positionV>
              <wp:extent cx="73025" cy="125095"/>
              <wp:wrapNone/>
              <wp:docPr id="13" name="Shape 13"/>
              <a:graphic xmlns:a="http://schemas.openxmlformats.org/drawingml/2006/main">
                <a:graphicData uri="http://schemas.microsoft.com/office/word/2010/wordprocessingShape">
                  <wps:wsp>
                    <wps:cNvSpPr txBox="1"/>
                    <wps:spPr>
                      <a:xfrm>
                        <a:ext cx="73025"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09.pt;margin-top:47.200000000000003pt;width:5.75pt;height:9.8499999999999996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3920490</wp:posOffset>
              </wp:positionH>
              <wp:positionV relativeFrom="page">
                <wp:posOffset>765810</wp:posOffset>
              </wp:positionV>
              <wp:extent cx="82550" cy="121920"/>
              <wp:wrapNone/>
              <wp:docPr id="17" name="Shape 17"/>
              <a:graphic xmlns:a="http://schemas.openxmlformats.org/drawingml/2006/main">
                <a:graphicData uri="http://schemas.microsoft.com/office/word/2010/wordprocessingShape">
                  <wps:wsp>
                    <wps:cNvSpPr txBox="1"/>
                    <wps:spPr>
                      <a:xfrm>
                        <a:ext cx="82550"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3" type="#_x0000_t202" style="position:absolute;margin-left:308.69999999999999pt;margin-top:60.300000000000004pt;width:6.5pt;height:9.5999999999999996pt;z-index:-18874405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lang w:val="ru-RU" w:eastAsia="ru-RU" w:bidi="ru-RU"/>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3924300</wp:posOffset>
              </wp:positionH>
              <wp:positionV relativeFrom="page">
                <wp:posOffset>599440</wp:posOffset>
              </wp:positionV>
              <wp:extent cx="73025" cy="125095"/>
              <wp:wrapNone/>
              <wp:docPr id="19" name="Shape 19"/>
              <a:graphic xmlns:a="http://schemas.openxmlformats.org/drawingml/2006/main">
                <a:graphicData uri="http://schemas.microsoft.com/office/word/2010/wordprocessingShape">
                  <wps:wsp>
                    <wps:cNvSpPr txBox="1"/>
                    <wps:spPr>
                      <a:xfrm>
                        <a:ext cx="73025"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5" type="#_x0000_t202" style="position:absolute;margin-left:309.pt;margin-top:47.200000000000003pt;width:5.75pt;height:9.8499999999999996pt;z-index:-18874404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iCs/>
        <w:smallCaps w:val="0"/>
        <w:strike w:val="0"/>
        <w:color w:val="000000"/>
        <w:spacing w:val="0"/>
        <w:w w:val="100"/>
        <w:position w:val="0"/>
        <w:sz w:val="28"/>
        <w:szCs w:val="28"/>
        <w:u w:val="single"/>
        <w:shd w:val="clear" w:color="auto" w:fill="auto"/>
        <w:lang w:val="ru-RU" w:eastAsia="ru-RU" w:bidi="ru-RU"/>
      </w:rPr>
    </w:lvl>
  </w:abstractNum>
  <w:abstractNum w:abstractNumId="4">
    <w:multiLevelType w:val="multilevel"/>
    <w:lvl w:ilvl="0">
      <w:start w:val="6"/>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6"/>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9">
    <w:name w:val="Основной текст (2)_"/>
    <w:basedOn w:val="DefaultParagraphFont"/>
    <w:link w:val="Style8"/>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Подпись к картинке_"/>
    <w:basedOn w:val="DefaultParagraphFont"/>
    <w:link w:val="Style11"/>
    <w:rPr>
      <w:rFonts w:ascii="Times New Roman" w:eastAsia="Times New Roman" w:hAnsi="Times New Roman" w:cs="Times New Roman"/>
      <w:b w:val="0"/>
      <w:bCs w:val="0"/>
      <w:i w:val="0"/>
      <w:iCs w:val="0"/>
      <w:smallCaps w:val="0"/>
      <w:strike w:val="0"/>
      <w:color w:val="4360A3"/>
      <w:sz w:val="20"/>
      <w:szCs w:val="20"/>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sz w:val="28"/>
      <w:szCs w:val="28"/>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40" w:line="286"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8">
    <w:name w:val="Основной текст (2)"/>
    <w:basedOn w:val="Normal"/>
    <w:link w:val="CharStyle9"/>
    <w:pPr>
      <w:widowControl w:val="0"/>
      <w:shd w:val="clear" w:color="auto" w:fill="auto"/>
      <w:spacing w:after="230"/>
    </w:pPr>
    <w:rPr>
      <w:rFonts w:ascii="Times New Roman" w:eastAsia="Times New Roman" w:hAnsi="Times New Roman" w:cs="Times New Roman"/>
      <w:b w:val="0"/>
      <w:bCs w:val="0"/>
      <w:i w:val="0"/>
      <w:iCs w:val="0"/>
      <w:smallCaps w:val="0"/>
      <w:strike w:val="0"/>
      <w:sz w:val="20"/>
      <w:szCs w:val="20"/>
      <w:u w:val="none"/>
    </w:rPr>
  </w:style>
  <w:style w:type="paragraph" w:customStyle="1" w:styleId="Style11">
    <w:name w:val="Подпись к картинке"/>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color w:val="4360A3"/>
      <w:sz w:val="20"/>
      <w:szCs w:val="20"/>
      <w:u w:val="non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header" Target="header3.xml"/><Relationship Id="rId16" Type="http://schemas.openxmlformats.org/officeDocument/2006/relationships/footer" Target="footer3.xml"/><Relationship Id="rId17" Type="http://schemas.openxmlformats.org/officeDocument/2006/relationships/header" Target="header4.xml"/><Relationship Id="rId18" Type="http://schemas.openxmlformats.org/officeDocument/2006/relationships/footer" Target="footer4.xml"/><Relationship Id="rId19" Type="http://schemas.openxmlformats.org/officeDocument/2006/relationships/header" Target="header5.xml"/><Relationship Id="rId20" Type="http://schemas.openxmlformats.org/officeDocument/2006/relationships/footer" Target="footer5.xml"/><Relationship Id="rId21" Type="http://schemas.openxmlformats.org/officeDocument/2006/relationships/header" Target="header6.xml"/><Relationship Id="rId22" Type="http://schemas.openxmlformats.org/officeDocument/2006/relationships/footer" Target="footer6.xml"/></Relationships>
</file>