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200" w:line="240" w:lineRule="auto"/>
        <w:ind w:left="0" w:right="0" w:firstLine="0"/>
        <w:jc w:val="center"/>
      </w:pPr>
      <w:r>
        <w:rPr>
          <w:color w:val="4360A3"/>
          <w:spacing w:val="0"/>
          <w:w w:val="100"/>
          <w:position w:val="0"/>
          <w:shd w:val="clear" w:color="auto" w:fill="auto"/>
          <w:lang w:val="ru-RU" w:eastAsia="ru-RU" w:bidi="ru-RU"/>
        </w:rPr>
        <w:t>УПРАВЛЕНИЕ</w:t>
        <w:br/>
        <w:t>Федеральной антимонопольной службы</w:t>
        <w:br/>
        <w:t>по Республике Ингушетия</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Победы, 3, корп. «С»</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г. Назрань, 386102</w:t>
        <w:br/>
        <w:t>тел./факс (8732) 22-87-28</w:t>
        <w:br/>
        <w:t>е-тай: 1о06@Га8.§оу.ги</w:t>
      </w:r>
    </w:p>
    <w:p>
      <w:pPr>
        <w:pStyle w:val="Style8"/>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left"/>
      </w:pPr>
      <w:r>
        <w:rPr>
          <w:color w:val="4360A3"/>
          <w:spacing w:val="0"/>
          <w:w w:val="100"/>
          <w:position w:val="0"/>
          <w:shd w:val="clear" w:color="auto" w:fill="auto"/>
          <w:lang w:val="ru-RU" w:eastAsia="ru-RU" w:bidi="ru-RU"/>
        </w:rPr>
        <w:tab/>
        <w:t xml:space="preserve"> №</w:t>
        <w:tab/>
      </w:r>
    </w:p>
    <w:p>
      <w:pPr>
        <w:pStyle w:val="Style1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"РАД"</w:t>
      </w:r>
    </w:p>
    <w:p>
      <w:pPr>
        <w:pStyle w:val="Style13"/>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т&amp;@аис11оп-Ъои8е.ги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Государственное бюджетное учреждение здравоохранения «Малгобекская центральная районная больница»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Ъо8рйа1-та1д@тай.ги;</w:t>
      </w:r>
    </w:p>
    <w:p>
      <w:pPr>
        <w:pStyle w:val="Style13"/>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1&lt;еНдоутаН1&lt;@1паП.П1</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КОМИТЕТ ГОСЗАКАЗА ИНГУШЕТИИ</w:t>
      </w:r>
    </w:p>
    <w:p>
      <w:pPr>
        <w:pStyle w:val="Style13"/>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хакатп@тай.ги, xауаVкап@та^1.^и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Демин А.В.</w:t>
      </w:r>
    </w:p>
    <w:p>
      <w:pPr>
        <w:pStyle w:val="Style13"/>
        <w:keepNext w:val="0"/>
        <w:keepLines w:val="0"/>
        <w:widowControl w:val="0"/>
        <w:shd w:val="clear" w:color="auto" w:fill="auto"/>
        <w:bidi w:val="0"/>
        <w:spacing w:before="0" w:after="0" w:line="240" w:lineRule="auto"/>
        <w:ind w:left="0" w:right="0" w:firstLine="0"/>
        <w:jc w:val="lef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284" w:right="906" w:bottom="1313" w:left="1140" w:header="0" w:footer="3" w:gutter="0"/>
          <w:pgNumType w:start="1"/>
          <w:cols w:num="2" w:space="720" w:equalWidth="0">
            <w:col w:w="4090" w:space="1176"/>
            <w:col w:w="4589"/>
          </w:cols>
          <w:noEndnote/>
          <w:titlePg/>
          <w:rtlGutter w:val="0"/>
          <w:docGrid w:linePitch="360"/>
        </w:sectPr>
      </w:pPr>
      <w:r>
        <w:rPr>
          <w:color w:val="000000"/>
          <w:spacing w:val="0"/>
          <w:w w:val="100"/>
          <w:position w:val="0"/>
          <w:shd w:val="clear" w:color="auto" w:fill="auto"/>
          <w:lang w:val="ru-RU" w:eastAsia="ru-RU" w:bidi="ru-RU"/>
        </w:rPr>
        <w:t>ш1етдетт@1181:.ги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 w:after="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05" w:right="0" w:bottom="992" w:left="0" w:header="0" w:footer="3" w:gutter="0"/>
          <w:cols w:space="720"/>
          <w:noEndnote/>
          <w:rtlGutter w:val="0"/>
          <w:docGrid w:linePitch="360"/>
        </w:sectPr>
      </w:pPr>
    </w:p>
    <w:p>
      <w:pPr>
        <w:pStyle w:val="Style13"/>
        <w:keepNext w:val="0"/>
        <w:keepLines w:val="0"/>
        <w:widowControl w:val="0"/>
        <w:shd w:val="clear" w:color="auto" w:fill="auto"/>
        <w:bidi w:val="0"/>
        <w:spacing w:before="0" w:after="80" w:line="240" w:lineRule="auto"/>
        <w:ind w:left="0" w:right="0" w:firstLine="0"/>
        <w:jc w:val="center"/>
        <w:rPr>
          <w:sz w:val="26"/>
          <w:szCs w:val="26"/>
        </w:rPr>
      </w:pPr>
      <w:r>
        <w:rPr>
          <w:color w:val="000000"/>
          <w:spacing w:val="0"/>
          <w:w w:val="100"/>
          <w:position w:val="0"/>
          <w:sz w:val="26"/>
          <w:szCs w:val="26"/>
          <w:shd w:val="clear" w:color="auto" w:fill="auto"/>
          <w:lang w:val="ru-RU" w:eastAsia="ru-RU" w:bidi="ru-RU"/>
        </w:rPr>
        <w:t>РЕШЕНИЕ</w:t>
      </w:r>
    </w:p>
    <w:p>
      <w:pPr>
        <w:pStyle w:val="Style13"/>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ru-RU" w:eastAsia="ru-RU" w:bidi="ru-RU"/>
        </w:rPr>
        <w:t>по делу № 006/06/105-539/2024 о нарушении</w:t>
        <w:br/>
        <w:t>законодательства о контрактной системе</w:t>
      </w:r>
    </w:p>
    <w:p>
      <w:pPr>
        <w:pStyle w:val="Style13"/>
        <w:keepNext w:val="0"/>
        <w:keepLines w:val="0"/>
        <w:widowControl w:val="0"/>
        <w:shd w:val="clear" w:color="auto" w:fill="auto"/>
        <w:bidi w:val="0"/>
        <w:spacing w:before="0" w:after="0" w:line="240" w:lineRule="auto"/>
        <w:ind w:left="0" w:right="440" w:firstLine="0"/>
        <w:jc w:val="right"/>
        <w:rPr>
          <w:sz w:val="26"/>
          <w:szCs w:val="26"/>
        </w:rPr>
      </w:pPr>
      <w:r>
        <w:rPr>
          <w:color w:val="000000"/>
          <w:spacing w:val="0"/>
          <w:w w:val="100"/>
          <w:position w:val="0"/>
          <w:sz w:val="26"/>
          <w:szCs w:val="26"/>
          <w:shd w:val="clear" w:color="auto" w:fill="auto"/>
          <w:lang w:val="ru-RU" w:eastAsia="ru-RU" w:bidi="ru-RU"/>
        </w:rPr>
        <w:t>г. Назрань</w:t>
      </w:r>
    </w:p>
    <w:p>
      <w:pPr>
        <w:pStyle w:val="Style13"/>
        <w:keepNext w:val="0"/>
        <w:keepLines w:val="0"/>
        <w:widowControl w:val="0"/>
        <w:shd w:val="clear" w:color="auto" w:fill="auto"/>
        <w:bidi w:val="0"/>
        <w:spacing w:before="0" w:after="0" w:line="240" w:lineRule="auto"/>
        <w:ind w:left="0" w:right="0" w:firstLine="0"/>
        <w:jc w:val="both"/>
        <w:rPr>
          <w:sz w:val="26"/>
          <w:szCs w:val="26"/>
        </w:rPr>
      </w:pPr>
      <w:r>
        <w:rPr>
          <w:color w:val="000000"/>
          <w:spacing w:val="0"/>
          <w:w w:val="100"/>
          <w:position w:val="0"/>
          <w:sz w:val="26"/>
          <w:szCs w:val="26"/>
          <w:shd w:val="clear" w:color="auto" w:fill="auto"/>
          <w:lang w:val="ru-RU" w:eastAsia="ru-RU" w:bidi="ru-RU"/>
        </w:rPr>
        <w:t>Резолютивная часть решения объявлена 21 октября 2024 года</w:t>
      </w:r>
    </w:p>
    <w:p>
      <w:pPr>
        <w:pStyle w:val="Style13"/>
        <w:keepNext w:val="0"/>
        <w:keepLines w:val="0"/>
        <w:widowControl w:val="0"/>
        <w:shd w:val="clear" w:color="auto" w:fill="auto"/>
        <w:bidi w:val="0"/>
        <w:spacing w:before="0" w:after="280" w:line="240" w:lineRule="auto"/>
        <w:ind w:left="0" w:right="0" w:firstLine="0"/>
        <w:jc w:val="both"/>
        <w:rPr>
          <w:sz w:val="26"/>
          <w:szCs w:val="26"/>
        </w:rPr>
      </w:pPr>
      <w:r>
        <w:rPr>
          <w:color w:val="000000"/>
          <w:spacing w:val="0"/>
          <w:w w:val="100"/>
          <w:position w:val="0"/>
          <w:sz w:val="26"/>
          <w:szCs w:val="26"/>
          <w:shd w:val="clear" w:color="auto" w:fill="auto"/>
          <w:lang w:val="ru-RU" w:eastAsia="ru-RU" w:bidi="ru-RU"/>
        </w:rPr>
        <w:t>В полном объеме решение изготовлено 23 октября 2024 года</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Комиссия Управления Федеральной антимонопольной службы по Республике Ингушетия (далее - Управление) по контролю в сфере закупок (далее - Комиссия Управления) в составе:</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Председатель комиссии: Б.Б. Точиев - руководительУправления;</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Члены комиссии:</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А.А. Аушев - начальник отдела контроля торгов Управления;</w:t>
      </w:r>
    </w:p>
    <w:p>
      <w:pPr>
        <w:pStyle w:val="Style13"/>
        <w:keepNext w:val="0"/>
        <w:keepLines w:val="0"/>
        <w:widowControl w:val="0"/>
        <w:shd w:val="clear" w:color="auto" w:fill="auto"/>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А.Б. Торшкоев - ведущий специалист-эксперт Управления.</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отсутствии представителя заказчика - ГБУЗ «Малгобекская центральная районная больница» (далее - Заказчик).</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присутствии представителей (до объявления перерыва):</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заявителя жалобы: ИП Дёмина Артёма Викторовича - (далее - Заявитель) -Д. А. Викторовича;</w:t>
      </w:r>
    </w:p>
    <w:p>
      <w:pPr>
        <w:pStyle w:val="Style13"/>
        <w:keepNext w:val="0"/>
        <w:keepLines w:val="0"/>
        <w:widowControl w:val="0"/>
        <w:shd w:val="clear" w:color="auto" w:fill="auto"/>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уполномоченного органа - Комитета государственного заказа Республики Ингушетия (далее - Уполномоченный орган) - З.С. Хаутиева (председатель комитета).</w:t>
      </w:r>
    </w:p>
    <w:p>
      <w:pPr>
        <w:widowControl w:val="0"/>
        <w:spacing w:line="1" w:lineRule="exact"/>
      </w:pPr>
      <w:r>
        <w:drawing>
          <wp:anchor distT="12700" distB="0" distL="0" distR="0" simplePos="0" relativeHeight="125829378" behindDoc="0" locked="0" layoutInCell="1" allowOverlap="1">
            <wp:simplePos x="0" y="0"/>
            <wp:positionH relativeFrom="page">
              <wp:posOffset>717550</wp:posOffset>
            </wp:positionH>
            <wp:positionV relativeFrom="paragraph">
              <wp:posOffset>12700</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3"/>
                    <a:stretch/>
                  </pic:blipFill>
                  <pic:spPr>
                    <a:xfrm>
                      <a:ext cx="1517650" cy="292735"/>
                    </a:xfrm>
                    <a:prstGeom prst="rect"/>
                  </pic:spPr>
                </pic:pic>
              </a:graphicData>
            </a:graphic>
          </wp:anchor>
        </w:drawing>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Все стороны уведомлены надлежащим образом, заявлений и ходатайств не поступало.</w:t>
      </w:r>
    </w:p>
    <w:p>
      <w:pPr>
        <w:pStyle w:val="Style13"/>
        <w:keepNext w:val="0"/>
        <w:keepLines w:val="0"/>
        <w:widowControl w:val="0"/>
        <w:shd w:val="clear" w:color="auto" w:fill="auto"/>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Рассмотрев жалобу Заявителя на действия (бездействия) Заказчика и Уполномоченного органа) при проведении процедуры закупки № 0114500000824002030 (далее - Закупка),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13"/>
        <w:keepNext w:val="0"/>
        <w:keepLines w:val="0"/>
        <w:widowControl w:val="0"/>
        <w:shd w:val="clear" w:color="auto" w:fill="auto"/>
        <w:bidi w:val="0"/>
        <w:spacing w:before="0" w:after="0" w:line="252" w:lineRule="auto"/>
        <w:ind w:left="0" w:right="0" w:firstLine="0"/>
        <w:jc w:val="center"/>
        <w:rPr>
          <w:sz w:val="26"/>
          <w:szCs w:val="26"/>
        </w:rPr>
      </w:pPr>
      <w:r>
        <w:rPr>
          <w:color w:val="000000"/>
          <w:spacing w:val="0"/>
          <w:w w:val="100"/>
          <w:position w:val="0"/>
          <w:sz w:val="26"/>
          <w:szCs w:val="26"/>
          <w:shd w:val="clear" w:color="auto" w:fill="auto"/>
          <w:lang w:val="ru-RU" w:eastAsia="ru-RU" w:bidi="ru-RU"/>
        </w:rPr>
        <w:t>УСТАНОВИЛА:</w:t>
      </w:r>
    </w:p>
    <w:p>
      <w:pPr>
        <w:pStyle w:val="Style13"/>
        <w:keepNext w:val="0"/>
        <w:keepLines w:val="0"/>
        <w:widowControl w:val="0"/>
        <w:shd w:val="clear" w:color="auto" w:fill="auto"/>
        <w:bidi w:val="0"/>
        <w:spacing w:before="0" w:after="0" w:line="252" w:lineRule="auto"/>
        <w:ind w:left="0" w:right="0" w:firstLine="720"/>
        <w:jc w:val="both"/>
        <w:rPr>
          <w:sz w:val="26"/>
          <w:szCs w:val="26"/>
        </w:rPr>
      </w:pPr>
      <w:r>
        <w:rPr>
          <w:color w:val="000000"/>
          <w:spacing w:val="0"/>
          <w:w w:val="100"/>
          <w:position w:val="0"/>
          <w:sz w:val="26"/>
          <w:szCs w:val="26"/>
          <w:shd w:val="clear" w:color="auto" w:fill="auto"/>
          <w:lang w:val="ru-RU" w:eastAsia="ru-RU" w:bidi="ru-RU"/>
        </w:rPr>
        <w:t>Уполномоченным органом в единой информационной системе в сети Интернет по размещению информации о размещении заказов \у\у\у./акирк1.до\лч1 (далее - ЕИС) размещено извещение о проведении Закупки.</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Согласно жалобе Уполномоченным органом нарушен порядок рассмотрения заявок участников торгов.</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3"/>
        <w:keepNext w:val="0"/>
        <w:keepLines w:val="0"/>
        <w:widowControl w:val="0"/>
        <w:numPr>
          <w:ilvl w:val="0"/>
          <w:numId w:val="1"/>
        </w:numPr>
        <w:shd w:val="clear" w:color="auto" w:fill="auto"/>
        <w:tabs>
          <w:tab w:pos="1072"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извещение об осуществлении закупки размещено в ЕИС - 11.10.2024;</w:t>
      </w:r>
    </w:p>
    <w:p>
      <w:pPr>
        <w:pStyle w:val="Style13"/>
        <w:keepNext w:val="0"/>
        <w:keepLines w:val="0"/>
        <w:widowControl w:val="0"/>
        <w:numPr>
          <w:ilvl w:val="0"/>
          <w:numId w:val="1"/>
        </w:numPr>
        <w:shd w:val="clear" w:color="auto" w:fill="auto"/>
        <w:tabs>
          <w:tab w:pos="1086"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способ определения поставщика (подрядчика, исполнителя) - закупка, осуществляемая в соответствии с частью 12 статьи 93 Закона о контрактной системе;</w:t>
      </w:r>
    </w:p>
    <w:p>
      <w:pPr>
        <w:pStyle w:val="Style13"/>
        <w:keepNext w:val="0"/>
        <w:keepLines w:val="0"/>
        <w:widowControl w:val="0"/>
        <w:numPr>
          <w:ilvl w:val="0"/>
          <w:numId w:val="1"/>
        </w:numPr>
        <w:shd w:val="clear" w:color="auto" w:fill="auto"/>
        <w:tabs>
          <w:tab w:pos="1096" w:val="left"/>
        </w:tabs>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начальная (максимальная) цена контракта - 1 900 800,00 рублей;</w:t>
      </w:r>
    </w:p>
    <w:p>
      <w:pPr>
        <w:pStyle w:val="Style13"/>
        <w:keepNext w:val="0"/>
        <w:keepLines w:val="0"/>
        <w:widowControl w:val="0"/>
        <w:shd w:val="clear" w:color="auto" w:fill="auto"/>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18.10.2024 Комиссией Управления был объявлен перерыв в рассмотрении жалобы и проведении внеплановой проверки до 21.10.2024.</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Управления пришла к следующим выводам.</w:t>
      </w:r>
    </w:p>
    <w:p>
      <w:pPr>
        <w:pStyle w:val="Style13"/>
        <w:keepNext w:val="0"/>
        <w:keepLines w:val="0"/>
        <w:widowControl w:val="0"/>
        <w:shd w:val="clear" w:color="auto" w:fill="auto"/>
        <w:bidi w:val="0"/>
        <w:spacing w:before="0" w:after="280" w:line="240" w:lineRule="auto"/>
        <w:ind w:left="0" w:right="0" w:firstLine="72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Пунктом 1 части 12 статьи 93 Закона о контрактной системе установлено, что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(далее в настоящей части также - товар). Годовой объем закупок, осуществляемых в таком порядке, не должен превышать сто миллионов рублей. Закупка товара в соответствии с настоящей частью осуществляется в следующем порядке: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w:t>
      </w:r>
    </w:p>
    <w:p>
      <w:pPr>
        <w:pStyle w:val="Style13"/>
        <w:keepNext w:val="0"/>
        <w:keepLines w:val="0"/>
        <w:widowControl w:val="0"/>
        <w:numPr>
          <w:ilvl w:val="0"/>
          <w:numId w:val="3"/>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товара и его характеристики с использованием каталога товаров, работ, услуг для обеспечения государственных и муниципальных нужд;</w:t>
      </w:r>
    </w:p>
    <w:p>
      <w:pPr>
        <w:pStyle w:val="Style13"/>
        <w:keepNext w:val="0"/>
        <w:keepLines w:val="0"/>
        <w:widowControl w:val="0"/>
        <w:numPr>
          <w:ilvl w:val="0"/>
          <w:numId w:val="3"/>
        </w:numPr>
        <w:shd w:val="clear" w:color="auto" w:fill="auto"/>
        <w:tabs>
          <w:tab w:pos="1839" w:val="left"/>
        </w:tabs>
        <w:bidi w:val="0"/>
        <w:spacing w:before="0" w:after="0" w:line="240" w:lineRule="auto"/>
        <w:ind w:left="0" w:right="0" w:firstLine="740"/>
        <w:jc w:val="both"/>
      </w:pPr>
      <w:r>
        <w:rPr>
          <w:i/>
          <w:iCs/>
          <w:color w:val="000000"/>
          <w:spacing w:val="0"/>
          <w:w w:val="100"/>
          <w:position w:val="0"/>
          <w:u w:val="single"/>
          <w:shd w:val="clear" w:color="auto" w:fill="auto"/>
          <w:lang w:val="ru-RU" w:eastAsia="ru-RU" w:bidi="ru-RU"/>
        </w:rPr>
        <w:t>товарный знак (при наличии);</w:t>
      </w:r>
    </w:p>
    <w:p>
      <w:pPr>
        <w:pStyle w:val="Style13"/>
        <w:keepNext w:val="0"/>
        <w:keepLines w:val="0"/>
        <w:widowControl w:val="0"/>
        <w:numPr>
          <w:ilvl w:val="0"/>
          <w:numId w:val="3"/>
        </w:numPr>
        <w:shd w:val="clear" w:color="auto" w:fill="auto"/>
        <w:tabs>
          <w:tab w:pos="183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страны происхождения товара;</w:t>
      </w:r>
    </w:p>
    <w:p>
      <w:pPr>
        <w:pStyle w:val="Style13"/>
        <w:keepNext w:val="0"/>
        <w:keepLines w:val="0"/>
        <w:widowControl w:val="0"/>
        <w:numPr>
          <w:ilvl w:val="0"/>
          <w:numId w:val="3"/>
        </w:numPr>
        <w:shd w:val="clear" w:color="auto" w:fill="auto"/>
        <w:tabs>
          <w:tab w:pos="1099" w:val="left"/>
        </w:tabs>
        <w:bidi w:val="0"/>
        <w:spacing w:before="0" w:after="0" w:line="240" w:lineRule="auto"/>
        <w:ind w:left="0" w:right="0" w:firstLine="740"/>
        <w:jc w:val="both"/>
      </w:pPr>
      <w:r>
        <w:rPr>
          <w:i/>
          <w:iCs/>
          <w:color w:val="000000"/>
          <w:spacing w:val="0"/>
          <w:w w:val="100"/>
          <w:position w:val="0"/>
          <w:u w:val="single"/>
          <w:shd w:val="clear" w:color="auto" w:fill="auto"/>
          <w:lang w:val="ru-RU" w:eastAsia="ru-RU" w:bidi="ru-RU"/>
        </w:rPr>
        <w:t>документ (или его копия), подтверждающий страну происхождения товара (в случае, если такой документ в отношении соответствующего товара предусмотрен нормативными правовыми актами, принятыми в соответствии с частями 3 и 4 статьи 14 настоящего Федерального закона). В случае отсутствия такого документа (или его копии) такой товар приравнивается к товару, происходящему из иностранного государства или группы иностранных государств;</w:t>
      </w:r>
    </w:p>
    <w:p>
      <w:pPr>
        <w:pStyle w:val="Style13"/>
        <w:keepNext w:val="0"/>
        <w:keepLines w:val="0"/>
        <w:widowControl w:val="0"/>
        <w:numPr>
          <w:ilvl w:val="0"/>
          <w:numId w:val="5"/>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цена (цены) единицы товара с учетом стоимости доставки, налогов, сборов и иных обязательных платежей, предусмотренных подпунктами "ж" и "з"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5"/>
        </w:numPr>
        <w:shd w:val="clear" w:color="auto" w:fill="auto"/>
        <w:tabs>
          <w:tab w:pos="112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"з"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5"/>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5"/>
        </w:numPr>
        <w:shd w:val="clear" w:color="auto" w:fill="auto"/>
        <w:tabs>
          <w:tab w:pos="1099" w:val="left"/>
        </w:tabs>
        <w:bidi w:val="0"/>
        <w:spacing w:before="0" w:after="0" w:line="240" w:lineRule="auto"/>
        <w:ind w:left="0" w:right="0" w:firstLine="740"/>
        <w:jc w:val="both"/>
        <w:sectPr>
          <w:footnotePr>
            <w:pos w:val="pageBottom"/>
            <w:numFmt w:val="decimal"/>
            <w:numRestart w:val="continuous"/>
          </w:footnotePr>
          <w:type w:val="continuous"/>
          <w:pgSz w:w="11900" w:h="16840"/>
          <w:pgMar w:top="805" w:right="531" w:bottom="992" w:left="1101" w:header="0" w:footer="3" w:gutter="0"/>
          <w:cols w:space="720"/>
          <w:noEndnote/>
          <w:rtlGutter w:val="0"/>
          <w:docGrid w:linePitch="360"/>
        </w:sectPr>
      </w:pPr>
      <w:r>
        <w:rPr>
          <w:color w:val="000000"/>
          <w:spacing w:val="0"/>
          <w:w w:val="100"/>
          <w:position w:val="0"/>
          <w:shd w:val="clear" w:color="auto" w:fill="auto"/>
          <w:lang w:val="ru-RU" w:eastAsia="ru-RU" w:bidi="ru-RU"/>
        </w:rPr>
        <w:t>срок действия предварительного предложения, который не может составлять более одного месяца с даты его размещения на электронной площадке. Участник закупки вправе продлить срок действия предварительного предложения</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или отозвать его в любой момент до направления оператором электронной площадки заявки заказчику в соответствии с подпунктом "в" пункта 5 настоящей части;</w:t>
      </w:r>
    </w:p>
    <w:p>
      <w:pPr>
        <w:pStyle w:val="Style13"/>
        <w:keepNext w:val="0"/>
        <w:keepLines w:val="0"/>
        <w:widowControl w:val="0"/>
        <w:numPr>
          <w:ilvl w:val="0"/>
          <w:numId w:val="5"/>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информацию и документы, предусмотренные подпунктами "н" - "п" пункта 1 части 1 статьи 43 настоящего Федерального закона;</w:t>
      </w:r>
    </w:p>
    <w:p>
      <w:pPr>
        <w:pStyle w:val="Style13"/>
        <w:keepNext w:val="0"/>
        <w:keepLines w:val="0"/>
        <w:widowControl w:val="0"/>
        <w:numPr>
          <w:ilvl w:val="0"/>
          <w:numId w:val="5"/>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минимальный (минимальные) срок (сроки) и (или) максимальный (максимальные) срок (сроки) поставки товара с учетом предусмотренных подпунктами "ж" и "з"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 При этом неуказание в соответствии с настоящим подпунктом минимального (минимальных) или максимального (максимальных) срока (сроков) означает согласие участника закупки со сроком поставки товара, предусмотренным в извещении об осуществлении закупки в соответствии с подпунктом "в" пункта 3 настоящей части.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подпунктом «а»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"в"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Федерального закона.</w:t>
      </w:r>
    </w:p>
    <w:p>
      <w:pPr>
        <w:pStyle w:val="Style13"/>
        <w:keepNext w:val="0"/>
        <w:keepLines w:val="0"/>
        <w:widowControl w:val="0"/>
        <w:shd w:val="clear" w:color="auto" w:fill="auto"/>
        <w:bidi w:val="0"/>
        <w:spacing w:before="0" w:after="0" w:line="240" w:lineRule="auto"/>
        <w:ind w:left="0" w:right="0" w:firstLine="740"/>
        <w:jc w:val="both"/>
        <w:rPr>
          <w:sz w:val="24"/>
          <w:szCs w:val="24"/>
        </w:rPr>
      </w:pPr>
      <w:r>
        <w:rPr>
          <w:color w:val="000000"/>
          <w:spacing w:val="0"/>
          <w:w w:val="100"/>
          <w:position w:val="0"/>
          <w:sz w:val="28"/>
          <w:szCs w:val="28"/>
          <w:shd w:val="clear" w:color="auto" w:fill="auto"/>
          <w:lang w:val="ru-RU" w:eastAsia="ru-RU" w:bidi="ru-RU"/>
        </w:rPr>
        <w:t xml:space="preserve">Также в соответствии с подпунктом «а»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 формирует с использованием электронной площадки протокол подведения итогов определения поставщика,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информацию, указанную в подпунктах "а" и "е" пункта 1 части 1 статьи 43 настоящего Федерального закона, идентификационные номера заявок и номера реестровых записей участников закупки, заявки которых направлены заказчику в соответствии с подпунктом "в" пункта 5 настоящей части. Такой протокол должен содержать дату подведения </w:t>
      </w:r>
      <w:r>
        <w:rPr>
          <w:color w:val="000000"/>
          <w:spacing w:val="0"/>
          <w:w w:val="100"/>
          <w:position w:val="0"/>
          <w:sz w:val="24"/>
          <w:szCs w:val="24"/>
          <w:shd w:val="clear" w:color="auto" w:fill="auto"/>
          <w:lang w:val="ru-RU" w:eastAsia="ru-RU" w:bidi="ru-RU"/>
        </w:rPr>
        <w:t>2024-3514</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итогов, идентификационные номера заявок и информацию о решениях, предусмотренных подпунктом "а" настоящего пункта, обоснование решения об отклонении заявки на участие в закупке (в случае принятия такого решения), содержащее указание на положения заявки на участие в закупке, а также положения настоящего Федерального закона, извещения об осуществлении закупки, которым не соответствует такая заявка, а также информацию, предусмотренную подпунктом "б" настоящего пункта.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от 14.10.2024 №ИЗТ1 заявка Заявителя отклонена ввиду того, что данный участник не представил документы подтверждающие страну происхождения товара.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Однако, из положений части 12 статьи 93 Закона о контрактной системе не следует, что заявка участника может быть отклонена на основании того, что участником не предоставлены документы, подтверждающие страну происхождения товара - в случае отсутствия таких документов (или их копий) такой товар приравнивается к товару, происходящему из иностранного государства или группы иностранных государств.</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на рассмотрении жалобы по существу представителем Уполномоченного органа даны пояснения, что заявка Заявителя подлежала отклонению также и по другому основанию, а именно в связи с не указанием товарного знака предлагаемого к поставке товара.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согласно подпункта «б» пункта 1 части 12 статьи 93 Закона о контрактной системе заявка участника должна содержать указание на товарный знак при его наличии.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дополнения к жалобе следует, что Заявителем предлагает к поставке перчатки смотровые/процедурные производства Тор СИоуе Вс1п.ВЫ.</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Однако, из предоставленных Уполномоченным органом сведений следует, что данные медицинские перчатки имеют товарный знак, согласно Реестру товарных знаков и знаков обслуживания Российской Федерации, размещенному на сайте Федерального государственного бюджетного учреждения «Федеральный институт промышленной собственности».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в нарушение требований подпункта «б» пункта 1 части 12 статьи 93 Закона о контрактной системе заявка Заявителя не содержит указание на товарный знак.</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изложенного, учитывая, что Заявителем заявка подана в нарушение установленных требований Комиссией Управления жалоба на неправомерное отклонение заявки признана необоснованной.</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ходе проведения внеплановой проверки Комиссией Управления установлены следующие нарушения требований Закона о контрактной системе.</w:t>
      </w:r>
    </w:p>
    <w:p>
      <w:pPr>
        <w:pStyle w:val="Style13"/>
        <w:keepNext w:val="0"/>
        <w:keepLines w:val="0"/>
        <w:widowControl w:val="0"/>
        <w:shd w:val="clear" w:color="auto" w:fill="auto"/>
        <w:bidi w:val="0"/>
        <w:spacing w:before="0" w:after="0" w:line="266" w:lineRule="auto"/>
        <w:ind w:left="0" w:right="0" w:firstLine="720"/>
        <w:jc w:val="both"/>
        <w:rPr>
          <w:sz w:val="24"/>
          <w:szCs w:val="24"/>
        </w:rPr>
      </w:pPr>
      <w:r>
        <w:rPr>
          <w:b/>
          <w:bCs/>
          <w:color w:val="000000"/>
          <w:spacing w:val="0"/>
          <w:w w:val="100"/>
          <w:position w:val="0"/>
          <w:sz w:val="28"/>
          <w:szCs w:val="28"/>
          <w:shd w:val="clear" w:color="auto" w:fill="auto"/>
          <w:lang w:val="ru-RU" w:eastAsia="ru-RU" w:bidi="ru-RU"/>
        </w:rPr>
        <w:t xml:space="preserve">2. </w:t>
      </w:r>
      <w:r>
        <w:rPr>
          <w:color w:val="000000"/>
          <w:spacing w:val="0"/>
          <w:w w:val="100"/>
          <w:position w:val="0"/>
          <w:sz w:val="28"/>
          <w:szCs w:val="28"/>
          <w:shd w:val="clear" w:color="auto" w:fill="auto"/>
          <w:lang w:val="ru-RU" w:eastAsia="ru-RU" w:bidi="ru-RU"/>
        </w:rPr>
        <w:t xml:space="preserve">Пунктом 1 части 12 статьи 93 Закона о контрактной системе установлено, что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w:t>
      </w:r>
      <w:r>
        <w:rPr>
          <w:color w:val="000000"/>
          <w:spacing w:val="0"/>
          <w:w w:val="100"/>
          <w:position w:val="0"/>
          <w:sz w:val="24"/>
          <w:szCs w:val="24"/>
          <w:shd w:val="clear" w:color="auto" w:fill="auto"/>
          <w:lang w:val="ru-RU" w:eastAsia="ru-RU" w:bidi="ru-RU"/>
        </w:rPr>
        <w:t>2024-3514</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(далее в настоящей части также - товар). Годовой объем закупок, осуществляемых в таком порядке, не должен превышать сто миллионов рублей. Закупка товара в соответствии с настоящей частью осуществляется в следующем порядке: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w:t>
      </w:r>
    </w:p>
    <w:p>
      <w:pPr>
        <w:pStyle w:val="Style13"/>
        <w:keepNext w:val="0"/>
        <w:keepLines w:val="0"/>
        <w:widowControl w:val="0"/>
        <w:numPr>
          <w:ilvl w:val="0"/>
          <w:numId w:val="7"/>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товара и его характеристики с использованием каталога товаров, работ, услуг для обеспечения государственных и муниципальных нужд;</w:t>
      </w:r>
    </w:p>
    <w:p>
      <w:pPr>
        <w:pStyle w:val="Style13"/>
        <w:keepNext w:val="0"/>
        <w:keepLines w:val="0"/>
        <w:widowControl w:val="0"/>
        <w:numPr>
          <w:ilvl w:val="0"/>
          <w:numId w:val="7"/>
        </w:numPr>
        <w:shd w:val="clear" w:color="auto" w:fill="auto"/>
        <w:tabs>
          <w:tab w:pos="181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товарный знак (при наличии);</w:t>
      </w:r>
    </w:p>
    <w:p>
      <w:pPr>
        <w:pStyle w:val="Style13"/>
        <w:keepNext w:val="0"/>
        <w:keepLines w:val="0"/>
        <w:widowControl w:val="0"/>
        <w:numPr>
          <w:ilvl w:val="0"/>
          <w:numId w:val="7"/>
        </w:numPr>
        <w:shd w:val="clear" w:color="auto" w:fill="auto"/>
        <w:tabs>
          <w:tab w:pos="181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страны происхождения товара;</w:t>
      </w:r>
    </w:p>
    <w:p>
      <w:pPr>
        <w:pStyle w:val="Style13"/>
        <w:keepNext w:val="0"/>
        <w:keepLines w:val="0"/>
        <w:widowControl w:val="0"/>
        <w:numPr>
          <w:ilvl w:val="0"/>
          <w:numId w:val="7"/>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документ (или его копия), подтверждающий страну происхождения товара (в случае, если такой документ в отношении соответствующего товара предусмотрен нормативными правовыми актами, принятыми в соответствии с частями 3 и 4 статьи 14 настоящего Федерального закона). В случае отсутствия такого документа (или его копии) такой товар приравнивается к товару, происходящему из иностранного государства или группы иностранных государств;</w:t>
      </w:r>
    </w:p>
    <w:p>
      <w:pPr>
        <w:pStyle w:val="Style13"/>
        <w:keepNext w:val="0"/>
        <w:keepLines w:val="0"/>
        <w:widowControl w:val="0"/>
        <w:numPr>
          <w:ilvl w:val="0"/>
          <w:numId w:val="9"/>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цена (цены) единицы товара с учетом стоимости доставки, налогов, сборов и иных обязательных платежей, предусмотренных подпунктами "ж" и "з"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9"/>
        </w:numPr>
        <w:shd w:val="clear" w:color="auto" w:fill="auto"/>
        <w:tabs>
          <w:tab w:pos="112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"з"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9"/>
        </w:numPr>
        <w:shd w:val="clear" w:color="auto" w:fill="auto"/>
        <w:tabs>
          <w:tab w:pos="1099" w:val="left"/>
        </w:tabs>
        <w:bidi w:val="0"/>
        <w:spacing w:before="0" w:after="0" w:line="264" w:lineRule="auto"/>
        <w:ind w:left="0" w:right="0" w:firstLine="720"/>
        <w:jc w:val="both"/>
        <w:rPr>
          <w:sz w:val="24"/>
          <w:szCs w:val="24"/>
        </w:rPr>
        <w:sectPr>
          <w:headerReference w:type="default" r:id="rId15"/>
          <w:footerReference w:type="default" r:id="rId16"/>
          <w:footnotePr>
            <w:pos w:val="pageBottom"/>
            <w:numFmt w:val="decimal"/>
            <w:numRestart w:val="continuous"/>
          </w:footnotePr>
          <w:pgSz w:w="11900" w:h="16840"/>
          <w:pgMar w:top="1708" w:right="534" w:bottom="809" w:left="1098" w:header="0" w:footer="381"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(классификаторам), </w:t>
      </w:r>
      <w:r>
        <w:rPr>
          <w:color w:val="000000"/>
          <w:spacing w:val="0"/>
          <w:w w:val="100"/>
          <w:position w:val="0"/>
          <w:sz w:val="24"/>
          <w:szCs w:val="24"/>
          <w:shd w:val="clear" w:color="auto" w:fill="auto"/>
          <w:lang w:val="ru-RU" w:eastAsia="ru-RU" w:bidi="ru-RU"/>
        </w:rPr>
        <w:t>2024-3514</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9"/>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срок действия предварительного предложения, который не может составлять более одного месяца с даты его размещения на электронной площадке. Участник закупки вправе продлить срок действия предварительного предложения или отозвать его в любой момент до направления оператором электронной площадки заявки заказчику в соответствии с подпунктом "в" пункта 5 настоящей части;</w:t>
      </w:r>
    </w:p>
    <w:p>
      <w:pPr>
        <w:pStyle w:val="Style13"/>
        <w:keepNext w:val="0"/>
        <w:keepLines w:val="0"/>
        <w:widowControl w:val="0"/>
        <w:numPr>
          <w:ilvl w:val="0"/>
          <w:numId w:val="9"/>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информацию и документы, предусмотренные подпунктами "н" - "п" пункта 1 части 1 статьи 43 настоящего Федерального закона;</w:t>
      </w:r>
    </w:p>
    <w:p>
      <w:pPr>
        <w:pStyle w:val="Style13"/>
        <w:keepNext w:val="0"/>
        <w:keepLines w:val="0"/>
        <w:widowControl w:val="0"/>
        <w:numPr>
          <w:ilvl w:val="0"/>
          <w:numId w:val="9"/>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минимальный (минимальные) срок (сроки) и (или) максимальный (максимальные) срок (сроки) поставки товара с учетом предусмотренных подпунктами "ж" и "з"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 При этом неуказание в соответствии с настоящим подпунктом минимального (минимальных) или максимального (максимальных) срока (сроков) означает согласие участника закупки со сроком поставки товара, предусмотренным в извещении об осуществлении закупки в соответствии с подпунктом "в" пункта 3 настоящей части.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подпунктом «а»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"в"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Федерального закона.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Также в соответствии с подпунктом «а»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 формирует с использованием электронной площадки протокол подведения итогов определения поставщика, подписывает его усиленной </w:t>
      </w:r>
      <w:r>
        <w:rPr>
          <w:color w:val="000000"/>
          <w:spacing w:val="0"/>
          <w:w w:val="100"/>
          <w:position w:val="0"/>
          <w:shd w:val="clear" w:color="auto" w:fill="auto"/>
          <w:lang w:val="ru-RU" w:eastAsia="ru-RU" w:bidi="ru-RU"/>
        </w:rPr>
        <w:t xml:space="preserve">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информацию, указанную в подпунктах "а" и "е" пункта 1 части 1 статьи 43 настоящего Федерального закона, идентификационные номера заявок и номера реестровых записей участников закупки, заявки которых направлены заказчику в соответствии с подпунктом "в" пункта 5 настоящей части. </w:t>
      </w:r>
      <w:r>
        <w:rPr>
          <w:color w:val="000000"/>
          <w:spacing w:val="0"/>
          <w:w w:val="100"/>
          <w:position w:val="0"/>
          <w:u w:val="single"/>
          <w:shd w:val="clear" w:color="auto" w:fill="auto"/>
          <w:lang w:val="ru-RU" w:eastAsia="ru-RU" w:bidi="ru-RU"/>
        </w:rPr>
        <w:t>Такой протокол должен содержать дату подведения итогов, идентификационные номера заявок и информацию о решениях, предусмотренных подпунктом "а" настоящего пункта, обоснование решения об отклонении заявки на участие в закупке (в случае принятия такого решения), содержащее указание на положения заявки на участие в закупке, а также положения настоящего Федерального закона, извещения об осуществлении закупки, которым не соответствует такая заявка, а также информацию, предусмотренную подпунктом "б" настоящего пункта.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от 14.10.2024 №ИЗТ1 заявка Заявителя отклонена ввиду того, что данный участник не представил документы подтверждающие страну происхождения товара.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Однако, из положений части 12 статьи 93 Закона о контрактной системе не следует, что заявка участника может быть отклонена на основании того, что участником не предоставлены документы, подтверждающие страну происхождения товара - в случае отсутствия таких документов (или их копий) такой товар приравнивается к товару, происходящему из иностранного государства или группы иностранных государств.</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на рассмотрении жалобы по существу представителем Уполномоченного органа даны пояснения, что заявка Заявителя подлежала отклонению также и по другому основанию, а именно в связи с не указанием товарного знака предлагаемого к поставке товара.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 согласно подпункта «б» пункта 1 части 12 статьи 93 Закона о контрактной системе заявка участника должна содержать указание на товарный знак при его наличии.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дополнения к жалобе следует, что Заявителем предлагает к поставке перчатки смотровые/процедурные производства Тор СИоуе Вс1п.ВЫ.</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Однако, из предоставленных Уполномоченным органом сведений следует, что данные медицинские перчатки имеют товарный знак, согласно Реестру товарных знаков и знаков обслуживания Российской Федерации, размещенному на сайте Федерального государственного бюджетного учреждения «Федеральный институт промышленной собственности».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в нарушение требований подпункта «б» пункта 1 части 12 статьи 93 Закона о контрактной системе заявка Заявителя не содержит указание на товарный знак.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На основании изложенного, Заявителем заявка подана в нарушение </w:t>
      </w:r>
      <w:r>
        <w:rPr>
          <w:color w:val="000000"/>
          <w:spacing w:val="0"/>
          <w:w w:val="100"/>
          <w:position w:val="0"/>
          <w:shd w:val="clear" w:color="auto" w:fill="auto"/>
          <w:lang w:val="ru-RU" w:eastAsia="ru-RU" w:bidi="ru-RU"/>
        </w:rPr>
        <w:t>установленных требований.</w:t>
      </w:r>
    </w:p>
    <w:p>
      <w:pPr>
        <w:pStyle w:val="Style13"/>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Вместе с тем, в нарушение требований подпункта «а» пункта 6 части 12 статьи 93 Закона о контрактной системе Уполномоченным органом в протоколе подведения итогов определения поставщика не отражены надлежащим образом все основания отклонения заявка участника торгов.</w:t>
      </w:r>
    </w:p>
    <w:p>
      <w:pPr>
        <w:pStyle w:val="Style13"/>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6"/>
          <w:szCs w:val="26"/>
          <w:shd w:val="clear" w:color="auto" w:fill="auto"/>
          <w:lang w:val="ru-RU" w:eastAsia="ru-RU" w:bidi="ru-RU"/>
        </w:rPr>
        <w:t xml:space="preserve">3. </w:t>
      </w:r>
      <w:r>
        <w:rPr>
          <w:color w:val="000000"/>
          <w:spacing w:val="0"/>
          <w:w w:val="100"/>
          <w:position w:val="0"/>
          <w:shd w:val="clear" w:color="auto" w:fill="auto"/>
          <w:lang w:val="ru-RU" w:eastAsia="ru-RU" w:bidi="ru-RU"/>
        </w:rPr>
        <w:t>Пунктом 1 части 12 статьи 93 Закона о контрактной системе установлено, что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(далее в настоящей части также - товар). Годовой объем закупок, осуществляемых в таком порядке, не должен превышать сто миллионов рублей. Закупка товара в соответствии с настоящей частью осуществляется в следующем порядке: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w:t>
      </w:r>
    </w:p>
    <w:p>
      <w:pPr>
        <w:pStyle w:val="Style13"/>
        <w:keepNext w:val="0"/>
        <w:keepLines w:val="0"/>
        <w:widowControl w:val="0"/>
        <w:numPr>
          <w:ilvl w:val="0"/>
          <w:numId w:val="11"/>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товара и его характеристики с использованием каталога товаров, работ, услуг для обеспечения государственных и муниципальных нужд;</w:t>
      </w:r>
    </w:p>
    <w:p>
      <w:pPr>
        <w:pStyle w:val="Style13"/>
        <w:keepNext w:val="0"/>
        <w:keepLines w:val="0"/>
        <w:widowControl w:val="0"/>
        <w:numPr>
          <w:ilvl w:val="0"/>
          <w:numId w:val="11"/>
        </w:numPr>
        <w:shd w:val="clear" w:color="auto" w:fill="auto"/>
        <w:tabs>
          <w:tab w:pos="1839" w:val="left"/>
        </w:tabs>
        <w:bidi w:val="0"/>
        <w:spacing w:before="0" w:after="0" w:line="240" w:lineRule="auto"/>
        <w:ind w:left="0" w:right="0" w:firstLine="740"/>
        <w:jc w:val="both"/>
      </w:pPr>
      <w:r>
        <w:rPr>
          <w:i/>
          <w:iCs/>
          <w:color w:val="000000"/>
          <w:spacing w:val="0"/>
          <w:w w:val="100"/>
          <w:position w:val="0"/>
          <w:u w:val="single"/>
          <w:shd w:val="clear" w:color="auto" w:fill="auto"/>
          <w:lang w:val="ru-RU" w:eastAsia="ru-RU" w:bidi="ru-RU"/>
        </w:rPr>
        <w:t>товарный знак (при наличии);</w:t>
      </w:r>
    </w:p>
    <w:p>
      <w:pPr>
        <w:pStyle w:val="Style13"/>
        <w:keepNext w:val="0"/>
        <w:keepLines w:val="0"/>
        <w:widowControl w:val="0"/>
        <w:numPr>
          <w:ilvl w:val="0"/>
          <w:numId w:val="11"/>
        </w:numPr>
        <w:shd w:val="clear" w:color="auto" w:fill="auto"/>
        <w:tabs>
          <w:tab w:pos="183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страны происхождения товара;</w:t>
      </w:r>
    </w:p>
    <w:p>
      <w:pPr>
        <w:pStyle w:val="Style13"/>
        <w:keepNext w:val="0"/>
        <w:keepLines w:val="0"/>
        <w:widowControl w:val="0"/>
        <w:numPr>
          <w:ilvl w:val="0"/>
          <w:numId w:val="11"/>
        </w:numPr>
        <w:shd w:val="clear" w:color="auto" w:fill="auto"/>
        <w:tabs>
          <w:tab w:pos="1099" w:val="left"/>
        </w:tabs>
        <w:bidi w:val="0"/>
        <w:spacing w:before="0" w:after="0" w:line="240" w:lineRule="auto"/>
        <w:ind w:left="0" w:right="0" w:firstLine="740"/>
        <w:jc w:val="both"/>
      </w:pPr>
      <w:r>
        <w:rPr>
          <w:i/>
          <w:iCs/>
          <w:color w:val="000000"/>
          <w:spacing w:val="0"/>
          <w:w w:val="100"/>
          <w:position w:val="0"/>
          <w:u w:val="single"/>
          <w:shd w:val="clear" w:color="auto" w:fill="auto"/>
          <w:lang w:val="ru-RU" w:eastAsia="ru-RU" w:bidi="ru-RU"/>
        </w:rPr>
        <w:t>документ (или его копия), подтверждающий страну происхождения товара (в случае, если такой документ в отношении соответствующего товара предусмотрен нормативными правовыми актами, принятыми в соответствии с частями 3 и 4 статьи 14 настоящего Федерального закона). В случае отсутствия такого документа (или его копии) такой товар приравнивается к товару, происходящему из иностранного государства или группы иностранных государств;</w:t>
      </w:r>
    </w:p>
    <w:p>
      <w:pPr>
        <w:pStyle w:val="Style13"/>
        <w:keepNext w:val="0"/>
        <w:keepLines w:val="0"/>
        <w:widowControl w:val="0"/>
        <w:numPr>
          <w:ilvl w:val="0"/>
          <w:numId w:val="13"/>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цена (цены) единицы товара с учетом стоимости доставки, налогов, сборов и иных обязательных платежей, предусмотренных подпунктами "ж" и "з"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13"/>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минимальное и (или) максимальное количество товара, предлагаемое </w:t>
      </w:r>
      <w:r>
        <w:rPr>
          <w:color w:val="000000"/>
          <w:spacing w:val="0"/>
          <w:w w:val="100"/>
          <w:position w:val="0"/>
          <w:shd w:val="clear" w:color="auto" w:fill="auto"/>
          <w:lang w:val="ru-RU" w:eastAsia="ru-RU" w:bidi="ru-RU"/>
        </w:rPr>
        <w:t>участником закупки к поставкам. При этом такое количество товара может быть указано с учетом предусмотренных подпунктом "з"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13"/>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13"/>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срок действия предварительного предложения, который не может составлять более одного месяца с даты его размещения на электронной площадке. Участник закупки вправе продлить срок действия предварительного предложения или отозвать его в любой момент до направления оператором электронной площадки заявки заказчику в соответствии с подпунктом "в" пункта 5 настоящей части;</w:t>
      </w:r>
    </w:p>
    <w:p>
      <w:pPr>
        <w:pStyle w:val="Style13"/>
        <w:keepNext w:val="0"/>
        <w:keepLines w:val="0"/>
        <w:widowControl w:val="0"/>
        <w:numPr>
          <w:ilvl w:val="0"/>
          <w:numId w:val="13"/>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информацию и документы, предусмотренные подпунктами "н" - "п" пункта 1 части 1 статьи 43 настоящего Федерального закона;</w:t>
      </w:r>
    </w:p>
    <w:p>
      <w:pPr>
        <w:pStyle w:val="Style13"/>
        <w:keepNext w:val="0"/>
        <w:keepLines w:val="0"/>
        <w:widowControl w:val="0"/>
        <w:numPr>
          <w:ilvl w:val="0"/>
          <w:numId w:val="13"/>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минимальный (минимальные) срок (сроки) и (или) максимальный (максимальные) срок (сроки) поставки товара с учетом предусмотренных подпунктами "ж" и "з"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 При этом неуказание в соответствии с настоящим подпунктом минимального (минимальных) или максимального (максимальных) срока (сроков) означает согласие участника закупки со сроком поставки товара, предусмотренным в извещении об осуществлении закупки в соответствии с подпунктом "в" пункта 3 настоящей части.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соответствии с подпунктом «а»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w:t>
      </w:r>
      <w:r>
        <w:rPr>
          <w:color w:val="000000"/>
          <w:spacing w:val="0"/>
          <w:w w:val="100"/>
          <w:position w:val="0"/>
          <w:shd w:val="clear" w:color="auto" w:fill="auto"/>
          <w:lang w:val="ru-RU" w:eastAsia="ru-RU" w:bidi="ru-RU"/>
        </w:rPr>
        <w:t>в случае непредставления информации и документов, предусмотренных подпунктом "в"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Федерального закона.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в соответствии с подпунктом «а»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 формирует с использованием электронной площадки протокол подведения итогов определения поставщика,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информацию, указанную в подпунктах "а" и "е" пункта 1 части 1 статьи 43 настоящего Федерального закона, идентификационные номера заявок и номера реестровых записей участников закупки, заявки которых направлены заказчику в соответствии с подпунктом "в" пункта 5 настоящей части. Такой протокол должен содержать дату подведения итогов, идентификационные номера заявок и информацию о решениях, предусмотренных подпунктом "а" настоящего пункта, обоснование решения об отклонении заявки на участие в закупке (в случае принятия такого решения), содержащее указание на положения заявки на участие в закупке, а также положения настоящего Федерального закона, извещения об осуществлении закупки, которым не соответствует такая заявка, а также информацию, предусмотренную подпунктом "б" настоящего пункта.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от 14.10.2024 №ИЗТ1 заявка участника под номером ЕР-216346 признана соответствующей требованиям Закона о контрактной системе и извещения Закупки.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Комиссией Управления установлено, что данным участником предложены к поставке перчатки смотровые/процедурные производства В1-'М')УУ.</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из предоставленных Уполномоченным органом сведений следует, что данные медицинские перчатки имеют товарный знак, согласно Реестру товарных знаков и знаков обслуживания Российской Федерации, размещенному на сайте Федерального государственного бюджетного учреждения «Федеральный институт промышленной собственности».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в нарушение требований подпункта «б» пункта 1 части 12 статьи 93 Закона о контрактной системе заявка Заявителя не содержит указание на товарный знак.</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Комиссией Управления установлено, что такая заявка подлежала отклонению ввиду не указания товарного знака предлагаемого к поставке товара.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в нарушение требований подпункта «а» пункта 6 части 12 статьи</w:t>
      </w:r>
    </w:p>
    <w:p>
      <w:pPr>
        <w:pStyle w:val="Style13"/>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93 Закона о контрактной системе Уполномоченным органом заявка участника неправомерно признана соответствующей требованиям Закона о контрактной системе и извещения Закупки.</w:t>
      </w:r>
    </w:p>
    <w:p>
      <w:pPr>
        <w:pStyle w:val="Style13"/>
        <w:keepNext w:val="0"/>
        <w:keepLines w:val="0"/>
        <w:widowControl w:val="0"/>
        <w:shd w:val="clear" w:color="auto" w:fill="auto"/>
        <w:bidi w:val="0"/>
        <w:spacing w:before="0" w:after="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Исходя из изложенного, информации, представленной Заявителем, заказчиком, а также информации, полученной Комиссией Управления при проведении внеплановой проверки, Комиссия, руководствуясь</w:t>
      </w:r>
      <w:r>
        <w:rPr>
          <w:color w:val="000000"/>
          <w:spacing w:val="0"/>
          <w:w w:val="100"/>
          <w:position w:val="0"/>
          <w:sz w:val="26"/>
          <w:szCs w:val="26"/>
          <w:shd w:val="clear" w:color="auto" w:fill="auto"/>
          <w:lang w:val="ru-RU" w:eastAsia="ru-RU" w:bidi="ru-RU"/>
        </w:rPr>
        <w:t xml:space="preserve"> </w:t>
      </w:r>
      <w:r>
        <w:rPr>
          <w:color w:val="000080"/>
          <w:spacing w:val="0"/>
          <w:w w:val="100"/>
          <w:position w:val="0"/>
          <w:sz w:val="26"/>
          <w:szCs w:val="26"/>
          <w:u w:val="single"/>
          <w:shd w:val="clear" w:color="auto" w:fill="auto"/>
          <w:lang w:val="ru-RU" w:eastAsia="ru-RU" w:bidi="ru-RU"/>
        </w:rPr>
        <w:t>статьями 99</w:t>
      </w:r>
      <w:r>
        <w:rPr>
          <w:color w:val="000000"/>
          <w:spacing w:val="0"/>
          <w:w w:val="100"/>
          <w:position w:val="0"/>
          <w:sz w:val="26"/>
          <w:szCs w:val="26"/>
          <w:shd w:val="clear" w:color="auto" w:fill="auto"/>
          <w:lang w:val="ru-RU" w:eastAsia="ru-RU" w:bidi="ru-RU"/>
        </w:rPr>
        <w:t>,</w:t>
      </w:r>
      <w:r>
        <w:rPr>
          <w:color w:val="000000"/>
          <w:spacing w:val="0"/>
          <w:w w:val="100"/>
          <w:position w:val="0"/>
          <w:sz w:val="26"/>
          <w:szCs w:val="26"/>
          <w:shd w:val="clear" w:color="auto" w:fill="auto"/>
          <w:lang w:val="ru-RU" w:eastAsia="ru-RU" w:bidi="ru-RU"/>
        </w:rPr>
        <w:t xml:space="preserve"> </w:t>
      </w:r>
      <w:r>
        <w:rPr>
          <w:color w:val="000080"/>
          <w:spacing w:val="0"/>
          <w:w w:val="100"/>
          <w:position w:val="0"/>
          <w:sz w:val="26"/>
          <w:szCs w:val="26"/>
          <w:u w:val="single"/>
          <w:shd w:val="clear" w:color="auto" w:fill="auto"/>
          <w:lang w:val="ru-RU" w:eastAsia="ru-RU" w:bidi="ru-RU"/>
        </w:rPr>
        <w:t>106</w:t>
      </w:r>
      <w:r>
        <w:rPr>
          <w:color w:val="000080"/>
          <w:spacing w:val="0"/>
          <w:w w:val="100"/>
          <w:position w:val="0"/>
          <w:sz w:val="26"/>
          <w:szCs w:val="26"/>
          <w:shd w:val="clear" w:color="auto" w:fill="auto"/>
          <w:lang w:val="ru-RU" w:eastAsia="ru-RU" w:bidi="ru-RU"/>
        </w:rPr>
        <w:t xml:space="preserve"> </w:t>
      </w:r>
      <w:r>
        <w:rPr>
          <w:color w:val="000000"/>
          <w:spacing w:val="0"/>
          <w:w w:val="100"/>
          <w:position w:val="0"/>
          <w:sz w:val="26"/>
          <w:szCs w:val="26"/>
          <w:shd w:val="clear" w:color="auto" w:fill="auto"/>
          <w:lang w:val="ru-RU" w:eastAsia="ru-RU" w:bidi="ru-RU"/>
        </w:rPr>
        <w:t>Закона о контрактной системе,</w:t>
      </w:r>
    </w:p>
    <w:p>
      <w:pPr>
        <w:pStyle w:val="Style13"/>
        <w:keepNext w:val="0"/>
        <w:keepLines w:val="0"/>
        <w:widowControl w:val="0"/>
        <w:shd w:val="clear" w:color="auto" w:fill="auto"/>
        <w:bidi w:val="0"/>
        <w:spacing w:before="0" w:after="0" w:line="252" w:lineRule="auto"/>
        <w:ind w:left="0" w:right="0" w:firstLine="0"/>
        <w:jc w:val="center"/>
        <w:rPr>
          <w:sz w:val="26"/>
          <w:szCs w:val="26"/>
        </w:rPr>
      </w:pPr>
      <w:r>
        <w:rPr>
          <w:color w:val="000000"/>
          <w:spacing w:val="0"/>
          <w:w w:val="100"/>
          <w:position w:val="0"/>
          <w:sz w:val="26"/>
          <w:szCs w:val="26"/>
          <w:shd w:val="clear" w:color="auto" w:fill="auto"/>
          <w:lang w:val="ru-RU" w:eastAsia="ru-RU" w:bidi="ru-RU"/>
        </w:rPr>
        <w:t>РЕШИЛА:</w:t>
      </w:r>
    </w:p>
    <w:p>
      <w:pPr>
        <w:pStyle w:val="Style13"/>
        <w:keepNext w:val="0"/>
        <w:keepLines w:val="0"/>
        <w:widowControl w:val="0"/>
        <w:numPr>
          <w:ilvl w:val="0"/>
          <w:numId w:val="15"/>
        </w:numPr>
        <w:shd w:val="clear" w:color="auto" w:fill="auto"/>
        <w:tabs>
          <w:tab w:pos="1078"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Признать жалобу ИП Дёмина Артёма Викторовича необоснованной.</w:t>
      </w:r>
    </w:p>
    <w:p>
      <w:pPr>
        <w:pStyle w:val="Style13"/>
        <w:keepNext w:val="0"/>
        <w:keepLines w:val="0"/>
        <w:widowControl w:val="0"/>
        <w:numPr>
          <w:ilvl w:val="0"/>
          <w:numId w:val="15"/>
        </w:numPr>
        <w:shd w:val="clear" w:color="auto" w:fill="auto"/>
        <w:tabs>
          <w:tab w:pos="1093"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 xml:space="preserve">Признать в действиях Уполномоченного органа нарушения </w:t>
      </w:r>
      <w:r>
        <w:rPr>
          <w:color w:val="000000"/>
          <w:spacing w:val="0"/>
          <w:w w:val="100"/>
          <w:position w:val="0"/>
          <w:sz w:val="28"/>
          <w:szCs w:val="28"/>
          <w:shd w:val="clear" w:color="auto" w:fill="auto"/>
          <w:lang w:val="ru-RU" w:eastAsia="ru-RU" w:bidi="ru-RU"/>
        </w:rPr>
        <w:t>подпункта «б» пункта 1 и подпункта «а» пункта 6 части 12 статьи 93 Закона о контрактной системе</w:t>
      </w:r>
      <w:r>
        <w:rPr>
          <w:color w:val="000000"/>
          <w:spacing w:val="0"/>
          <w:w w:val="100"/>
          <w:position w:val="0"/>
          <w:sz w:val="26"/>
          <w:szCs w:val="26"/>
          <w:shd w:val="clear" w:color="auto" w:fill="auto"/>
          <w:lang w:val="ru-RU" w:eastAsia="ru-RU" w:bidi="ru-RU"/>
        </w:rPr>
        <w:t>.</w:t>
      </w:r>
    </w:p>
    <w:p>
      <w:pPr>
        <w:pStyle w:val="Style13"/>
        <w:keepNext w:val="0"/>
        <w:keepLines w:val="0"/>
        <w:widowControl w:val="0"/>
        <w:numPr>
          <w:ilvl w:val="0"/>
          <w:numId w:val="15"/>
        </w:numPr>
        <w:shd w:val="clear" w:color="auto" w:fill="auto"/>
        <w:tabs>
          <w:tab w:pos="1098"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Выдать обязательное для исполнения предписание.</w:t>
      </w:r>
    </w:p>
    <w:p>
      <w:pPr>
        <w:pStyle w:val="Style13"/>
        <w:keepNext w:val="0"/>
        <w:keepLines w:val="0"/>
        <w:widowControl w:val="0"/>
        <w:numPr>
          <w:ilvl w:val="0"/>
          <w:numId w:val="15"/>
        </w:numPr>
        <w:shd w:val="clear" w:color="auto" w:fill="auto"/>
        <w:tabs>
          <w:tab w:pos="1093"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Передать материалы дела должностному лицу Управления для решения вопроса о привлечении виновных должностных лиц к административной ответственности.</w:t>
      </w:r>
    </w:p>
    <w:p>
      <w:pPr>
        <w:pStyle w:val="Style13"/>
        <w:keepNext w:val="0"/>
        <w:keepLines w:val="0"/>
        <w:widowControl w:val="0"/>
        <w:numPr>
          <w:ilvl w:val="0"/>
          <w:numId w:val="15"/>
        </w:numPr>
        <w:shd w:val="clear" w:color="auto" w:fill="auto"/>
        <w:tabs>
          <w:tab w:pos="1093" w:val="left"/>
        </w:tabs>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соответствии со статьи 106 Закона о контрактной системе направить настоящее решение сторонам.</w:t>
      </w:r>
    </w:p>
    <w:p>
      <w:pPr>
        <w:pStyle w:val="Style13"/>
        <w:keepNext w:val="0"/>
        <w:keepLines w:val="0"/>
        <w:widowControl w:val="0"/>
        <w:shd w:val="clear" w:color="auto" w:fill="auto"/>
        <w:tabs>
          <w:tab w:pos="7805" w:val="left"/>
        </w:tabs>
        <w:bidi w:val="0"/>
        <w:spacing w:before="0" w:after="580" w:line="252" w:lineRule="auto"/>
        <w:ind w:left="0" w:right="0" w:firstLine="720"/>
        <w:jc w:val="both"/>
        <w:rPr>
          <w:sz w:val="26"/>
          <w:szCs w:val="26"/>
        </w:rPr>
      </w:pPr>
      <w:r>
        <w:rPr>
          <w:color w:val="000000"/>
          <w:spacing w:val="0"/>
          <w:w w:val="100"/>
          <w:position w:val="0"/>
          <w:sz w:val="26"/>
          <w:szCs w:val="26"/>
          <w:shd w:val="clear" w:color="auto" w:fill="auto"/>
          <w:lang w:val="ru-RU" w:eastAsia="ru-RU" w:bidi="ru-RU"/>
        </w:rPr>
        <w:t>Председатель Комиссии:</w:t>
        <w:tab/>
        <w:t>Б.Б. Точиев</w:t>
      </w:r>
    </w:p>
    <w:p>
      <w:pPr>
        <w:pStyle w:val="Style13"/>
        <w:keepNext w:val="0"/>
        <w:keepLines w:val="0"/>
        <w:widowControl w:val="0"/>
        <w:shd w:val="clear" w:color="auto" w:fill="auto"/>
        <w:bidi w:val="0"/>
        <w:spacing w:before="0" w:after="580" w:line="240" w:lineRule="auto"/>
        <w:ind w:left="0" w:right="0" w:firstLine="720"/>
        <w:jc w:val="both"/>
        <w:rPr>
          <w:sz w:val="26"/>
          <w:szCs w:val="26"/>
        </w:rPr>
      </w:pPr>
      <w:r>
        <mc:AlternateContent>
          <mc:Choice Requires="wps">
            <w:drawing>
              <wp:anchor distT="0" distB="0" distL="114300" distR="114300" simplePos="0" relativeHeight="125829379" behindDoc="0" locked="0" layoutInCell="1" allowOverlap="1">
                <wp:simplePos x="0" y="0"/>
                <wp:positionH relativeFrom="page">
                  <wp:posOffset>5658485</wp:posOffset>
                </wp:positionH>
                <wp:positionV relativeFrom="paragraph">
                  <wp:posOffset>12700</wp:posOffset>
                </wp:positionV>
                <wp:extent cx="892810" cy="240665"/>
                <wp:wrapSquare wrapText="left"/>
                <wp:docPr id="13" name="Shape 13"/>
                <a:graphic xmlns:a="http://schemas.openxmlformats.org/drawingml/2006/main">
                  <a:graphicData uri="http://schemas.microsoft.com/office/word/2010/wordprocessingShape">
                    <wps:wsp>
                      <wps:cNvSpPr txBox="1"/>
                      <wps:spPr>
                        <a:xfrm>
                          <a:ext cx="892810" cy="24066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А.А. Аушев</w:t>
                            </w:r>
                          </w:p>
                        </w:txbxContent>
                      </wps:txbx>
                      <wps:bodyPr wrap="none" lIns="0" tIns="0" rIns="0" bIns="0">
                        <a:noAutoFit/>
                      </wps:bodyPr>
                    </wps:wsp>
                  </a:graphicData>
                </a:graphic>
              </wp:anchor>
            </w:drawing>
          </mc:Choice>
          <mc:Fallback>
            <w:pict>
              <v:shape id="_x0000_s1039" type="#_x0000_t202" style="position:absolute;margin-left:445.55000000000001pt;margin-top:1.pt;width:70.299999999999997pt;height:18.949999999999999pt;z-index:-125829374;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А.А. Аушев</w:t>
                      </w:r>
                    </w:p>
                  </w:txbxContent>
                </v:textbox>
                <w10:wrap type="square" side="left" anchorx="page"/>
              </v:shape>
            </w:pict>
          </mc:Fallback>
        </mc:AlternateContent>
      </w:r>
      <w:r>
        <w:rPr>
          <w:color w:val="000000"/>
          <w:spacing w:val="0"/>
          <w:w w:val="100"/>
          <w:position w:val="0"/>
          <w:sz w:val="26"/>
          <w:szCs w:val="26"/>
          <w:shd w:val="clear" w:color="auto" w:fill="auto"/>
          <w:lang w:val="ru-RU" w:eastAsia="ru-RU" w:bidi="ru-RU"/>
        </w:rPr>
        <w:t>Члены комиссии:</w:t>
      </w:r>
    </w:p>
    <w:p>
      <w:pPr>
        <w:pStyle w:val="Style13"/>
        <w:keepNext w:val="0"/>
        <w:keepLines w:val="0"/>
        <w:widowControl w:val="0"/>
        <w:shd w:val="clear" w:color="auto" w:fill="auto"/>
        <w:bidi w:val="0"/>
        <w:spacing w:before="0" w:after="5060" w:line="240" w:lineRule="auto"/>
        <w:ind w:left="0" w:right="740" w:firstLine="0"/>
        <w:jc w:val="right"/>
        <w:rPr>
          <w:sz w:val="26"/>
          <w:szCs w:val="26"/>
        </w:rPr>
      </w:pPr>
      <w:r>
        <w:rPr>
          <w:color w:val="000000"/>
          <w:spacing w:val="0"/>
          <w:w w:val="100"/>
          <w:position w:val="0"/>
          <w:sz w:val="26"/>
          <w:szCs w:val="26"/>
          <w:shd w:val="clear" w:color="auto" w:fill="auto"/>
          <w:lang w:val="ru-RU" w:eastAsia="ru-RU" w:bidi="ru-RU"/>
        </w:rPr>
        <w:t>А.Б. Торшкоев</w:t>
      </w:r>
    </w:p>
    <w:p>
      <w:pPr>
        <w:pStyle w:val="Style8"/>
        <w:keepNext w:val="0"/>
        <w:keepLines w:val="0"/>
        <w:widowControl w:val="0"/>
        <w:shd w:val="clear" w:color="auto" w:fill="auto"/>
        <w:bidi w:val="0"/>
        <w:spacing w:before="0" w:after="420" w:line="240" w:lineRule="auto"/>
        <w:ind w:left="0" w:right="0" w:firstLine="720"/>
        <w:jc w:val="both"/>
      </w:pPr>
      <w:r>
        <w:rPr>
          <w:color w:val="000000"/>
          <w:spacing w:val="0"/>
          <w:w w:val="100"/>
          <w:position w:val="0"/>
          <w:shd w:val="clear" w:color="auto" w:fill="auto"/>
          <w:lang w:val="ru-RU" w:eastAsia="ru-RU" w:bidi="ru-RU"/>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sectPr>
      <w:headerReference w:type="default" r:id="rId17"/>
      <w:footerReference w:type="default" r:id="rId18"/>
      <w:footnotePr>
        <w:pos w:val="pageBottom"/>
        <w:numFmt w:val="decimal"/>
        <w:numRestart w:val="continuous"/>
      </w:footnotePr>
      <w:pgSz w:w="11900" w:h="16840"/>
      <w:pgMar w:top="1708" w:right="535" w:bottom="1212" w:left="109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10018395</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2024-3514</w:t>
                          </w:r>
                        </w:p>
                      </w:txbxContent>
                    </wps:txbx>
                    <wps:bodyPr wrap="none" lIns="0" tIns="0" rIns="0" bIns="0">
                      <a:spAutoFit/>
                    </wps:bodyPr>
                  </wps:wsp>
                </a:graphicData>
              </a:graphic>
            </wp:anchor>
          </w:drawing>
        </mc:Choice>
        <mc:Fallback>
          <w:pict>
            <v:shape id="_x0000_s1031" type="#_x0000_t202" style="position:absolute;margin-left:56.950000000000003pt;margin-top:788.85000000000002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2024-3514</w:t>
                          </w:r>
                        </w:p>
                      </w:txbxContent>
                    </wps:txbx>
                    <wps:bodyPr wrap="none" lIns="0" tIns="0" rIns="0" bIns="0">
                      <a:spAutoFit/>
                    </wps:bodyPr>
                  </wps:wsp>
                </a:graphicData>
              </a:graphic>
            </wp:anchor>
          </w:drawing>
        </mc:Choice>
        <mc:Fallback>
          <w:pict>
            <v:shape id="_x0000_s1033"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723265</wp:posOffset>
              </wp:positionH>
              <wp:positionV relativeFrom="page">
                <wp:posOffset>10018395</wp:posOffset>
              </wp:positionV>
              <wp:extent cx="648970" cy="100330"/>
              <wp:wrapNone/>
              <wp:docPr id="17" name="Shape 1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2024-3514</w:t>
                          </w:r>
                        </w:p>
                      </w:txbxContent>
                    </wps:txbx>
                    <wps:bodyPr wrap="none" lIns="0" tIns="0" rIns="0" bIns="0">
                      <a:spAutoFit/>
                    </wps:bodyPr>
                  </wps:wsp>
                </a:graphicData>
              </a:graphic>
            </wp:anchor>
          </w:drawing>
        </mc:Choice>
        <mc:Fallback>
          <w:pict>
            <v:shape id="_x0000_s1043" type="#_x0000_t202" style="position:absolute;margin-left:56.950000000000003pt;margin-top:788.85000000000002pt;width:51.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3893185</wp:posOffset>
              </wp:positionH>
              <wp:positionV relativeFrom="page">
                <wp:posOffset>599440</wp:posOffset>
              </wp:positionV>
              <wp:extent cx="149225" cy="121920"/>
              <wp:wrapNone/>
              <wp:docPr id="3" name="Shape 3"/>
              <a:graphic xmlns:a="http://schemas.openxmlformats.org/drawingml/2006/main">
                <a:graphicData uri="http://schemas.microsoft.com/office/word/2010/wordprocessingShape">
                  <wps:wsp>
                    <wps:cNvSpPr txBox="1"/>
                    <wps:spPr>
                      <a:xfrm>
                        <a:ext cx="14922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6.55000000000001pt;margin-top:47.200000000000003pt;width:11.75pt;height:9.59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3919220</wp:posOffset>
              </wp:positionH>
              <wp:positionV relativeFrom="page">
                <wp:posOffset>764540</wp:posOffset>
              </wp:positionV>
              <wp:extent cx="82550" cy="121920"/>
              <wp:wrapNone/>
              <wp:docPr id="11" name="Shape 11"/>
              <a:graphic xmlns:a="http://schemas.openxmlformats.org/drawingml/2006/main">
                <a:graphicData uri="http://schemas.microsoft.com/office/word/2010/wordprocessingShape">
                  <wps:wsp>
                    <wps:cNvSpPr txBox="1"/>
                    <wps:spPr>
                      <a:xfrm>
                        <a:ext cx="8255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8.60000000000002pt;margin-top:60.200000000000003pt;width:6.5pt;height:9.5999999999999996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3893185</wp:posOffset>
              </wp:positionH>
              <wp:positionV relativeFrom="page">
                <wp:posOffset>599440</wp:posOffset>
              </wp:positionV>
              <wp:extent cx="149225" cy="121920"/>
              <wp:wrapNone/>
              <wp:docPr id="15" name="Shape 15"/>
              <a:graphic xmlns:a="http://schemas.openxmlformats.org/drawingml/2006/main">
                <a:graphicData uri="http://schemas.microsoft.com/office/word/2010/wordprocessingShape">
                  <wps:wsp>
                    <wps:cNvSpPr txBox="1"/>
                    <wps:spPr>
                      <a:xfrm>
                        <a:ext cx="14922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6.55000000000001pt;margin-top:47.200000000000003pt;width:11.75pt;height:9.5999999999999996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8"/>
        <w:szCs w:val="28"/>
        <w:u w:val="single"/>
        <w:shd w:val="clear" w:color="auto" w:fill="auto"/>
        <w:lang w:val="ru-RU" w:eastAsia="ru-RU" w:bidi="ru-RU"/>
      </w:rPr>
    </w:lvl>
  </w:abstractNum>
  <w:abstractNum w:abstractNumId="4">
    <w:multiLevelType w:val="multilevel"/>
    <w:lvl w:ilvl="0">
      <w:start w:val="6"/>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6"/>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8"/>
        <w:szCs w:val="28"/>
        <w:u w:val="single"/>
        <w:shd w:val="clear" w:color="auto" w:fill="auto"/>
        <w:lang w:val="ru-RU" w:eastAsia="ru-RU" w:bidi="ru-RU"/>
      </w:rPr>
    </w:lvl>
  </w:abstractNum>
  <w:abstractNum w:abstractNumId="12">
    <w:multiLevelType w:val="multilevel"/>
    <w:lvl w:ilvl="0">
      <w:start w:val="6"/>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20"/>
      <w:szCs w:val="20"/>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40" w:line="286"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2)"/>
    <w:basedOn w:val="Normal"/>
    <w:link w:val="CharStyle9"/>
    <w:pPr>
      <w:widowControl w:val="0"/>
      <w:shd w:val="clear" w:color="auto" w:fill="auto"/>
      <w:spacing w:after="230"/>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Подпись к картинке"/>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color w:val="4360A3"/>
      <w:sz w:val="20"/>
      <w:szCs w:val="20"/>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header" Target="header4.xml"/><Relationship Id="rId18" Type="http://schemas.openxmlformats.org/officeDocument/2006/relationships/footer" Target="footer4.xml"/></Relationships>
</file>

<file path=docProps/core.xml><?xml version="1.0" encoding="utf-8"?>
<cp:coreProperties xmlns:cp="http://schemas.openxmlformats.org/package/2006/metadata/core-properties" xmlns:dc="http://purl.org/dc/elements/1.1/">
  <dc:title>Федеральный закон от 05.04.2013 N 44-ФЗ(ред. от 08.08.2024)"О контрактной системе в сфере закупок товаров, работ, услуг для обеспечения государственных и муниципальных нужд"(с изм. и доп., вступ. в силу с 01.10.2024)</dc:title>
  <dc:subject/>
  <dc:creator/>
  <cp:keywords/>
</cp:coreProperties>
</file>