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Республике Марий Эл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Волкова, 164, г. Йошкар-Ола, 424000</w:t>
        <w:br/>
        <w:t>тел. (8362) 42-08-55, факс (8362) 56-60-56</w:t>
        <w:br/>
        <w:t>е-тай: 1о12@&amp;8.§оу.ги</w:t>
      </w:r>
    </w:p>
    <w:p>
      <w:pPr>
        <w:pStyle w:val="Style10"/>
        <w:keepNext/>
        <w:keepLines/>
        <w:widowControl w:val="0"/>
        <w:shd w:val="clear" w:color="auto" w:fill="auto"/>
        <w:tabs>
          <w:tab w:pos="1848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3.10.2024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АБ/4809/24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Заказчик:</w:t>
      </w:r>
      <w:bookmarkEnd w:id="2"/>
    </w:p>
    <w:p>
      <w:pPr>
        <w:pStyle w:val="Style14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МБУК «Дворец культуры им. XXX- летия Победы»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424031, Республика Марий Эл, г. Йошкар- Ола, ул. Первомайская, д.109 </w:t>
      </w:r>
      <w:r>
        <w:fldChar w:fldCharType="begin"/>
      </w:r>
      <w:r>
        <w:rPr/>
        <w:instrText> HYPERLINK "mailto:dk30Let@bk.ru" </w:instrText>
      </w:r>
      <w:r>
        <w:fldChar w:fldCharType="separate"/>
      </w:r>
      <w:r>
        <w:rPr>
          <w:color w:val="000080"/>
          <w:spacing w:val="0"/>
          <w:w w:val="100"/>
          <w:position w:val="0"/>
          <w:shd w:val="clear" w:color="auto" w:fill="auto"/>
          <w:lang w:val="ru-RU" w:eastAsia="ru-RU" w:bidi="ru-RU"/>
        </w:rPr>
        <w:t>4к30Ье1@Ъкги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</w:t>
      </w:r>
      <w:r>
        <w:fldChar w:fldCharType="begin"/>
      </w:r>
      <w:r>
        <w:rPr/>
        <w:instrText> HYPERLINK "mailto:dk30let@inbox.ru"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4к301е!@тЪох.ш</w:t>
      </w:r>
      <w:r>
        <w:fldChar w:fldCharType="end"/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" w:name="bookmark5"/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Заявитель:</w:t>
      </w:r>
      <w:bookmarkEnd w:id="5"/>
    </w:p>
    <w:p>
      <w:pPr>
        <w:pStyle w:val="Style14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«МВ Гарантстрой»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58" w:right="772" w:bottom="1232" w:left="1140" w:header="0" w:footer="3" w:gutter="0"/>
          <w:pgNumType w:start="1"/>
          <w:cols w:num="2" w:space="720" w:equalWidth="0">
            <w:col w:w="4186" w:space="1075"/>
            <w:col w:w="4728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420110, Республика Татарстан, г. Казань, ул. Братьев Касимовых, д. 48, кв. 75 </w:t>
      </w:r>
      <w:r>
        <w:fldChar w:fldCharType="begin"/>
      </w:r>
      <w:r>
        <w:rPr/>
        <w:instrText> HYPERLINK "mailto:tenderkas7@mail.ru"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1еп4егка87@таП.ш</w:t>
      </w:r>
      <w:r>
        <w:fldChar w:fldCharType="end"/>
      </w:r>
    </w:p>
    <w:p>
      <w:pPr>
        <w:widowControl w:val="0"/>
        <w:spacing w:before="79" w:after="7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74" w:right="0" w:bottom="119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  <w:bookmarkEnd w:id="8"/>
    </w:p>
    <w:p>
      <w:pPr>
        <w:pStyle w:val="Style14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Комиссии по контролю в сфере закупок по делу №012/06/105-698/2024</w:t>
      </w:r>
      <w:bookmarkEnd w:id="10"/>
    </w:p>
    <w:p>
      <w:pPr>
        <w:pStyle w:val="Style17"/>
        <w:keepNext w:val="0"/>
        <w:keepLines w:val="0"/>
        <w:widowControl w:val="0"/>
        <w:shd w:val="clear" w:color="auto" w:fill="auto"/>
        <w:tabs>
          <w:tab w:pos="8539" w:val="left"/>
        </w:tabs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«18» октября 2024 года</w:t>
        <w:tab/>
        <w:t>г. Йошкар-Ола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 Марий Эл по контролю в сфере закупок (далее - Комиссия) в составе: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 - Бастраков А.В. - заместитель руководителя - начальник отдела контроля закупок и антимонопольного контроля органов власти;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Токпаева В.А. — ведущий специалист-эксперт отдела контроля закупок и антимонопольного контроля органов власти;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Ухова И.Н. — ведущий специалист-эксперт отдела контроля закупок и антимонопольного контроля органов власти;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присутствии представителя Заказчика — Капустин И.В. (по доверенности);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посредством веб конференции представителя от ООО «Великий Лес» — Бородин Д.С. (по доверенности),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отсутствии представителя заявителя, надлежащим образом извещенного о дате, времени, месте рассмотрения дела,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82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посредством веб конференции жалобу Заявителя - ООО «МВ Гарантстрой» на действия комиссии по осуществлению закупок Заказчика - МБУК «Дворец культуры им. ХХХ-летия Победы» при проведении открытого конкурса в электронной форме по капитальному ремонту системы отопления здания МБУК «Дворец культуры им. ХХХ-летия Победы» по адресу: г. Йошкар-Ола, ул. Первомайская, д. 109 (извещение в единой информационной системы в сфере закупок в информационно</w:t>
        <w:softHyphen/>
        <w:t xml:space="preserve">телекоммуникационной сети «Интернет» </w:t>
      </w:r>
      <w:r>
        <w:fldChar w:fldCharType="begin"/>
      </w:r>
      <w:r>
        <w:rPr/>
        <w:instrText> HYPERLINK "http://zakupki.gov.ru/" </w:instrText>
      </w:r>
      <w:r>
        <w:fldChar w:fldCharType="separate"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ИйрУ/такиркЁдомш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№0308300011324000005 от 18.09.2024),</w:t>
      </w:r>
    </w:p>
    <w:p>
      <w:pPr>
        <w:pStyle w:val="Style26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12" w:name="bookmark1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  <w:bookmarkEnd w:id="12"/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bookmarkStart w:id="14" w:name="bookmark1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  <w:bookmarkEnd w:id="14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Заказчиком проводится открытый конкурс в электронной форме на капитальный ремонт системы отопления здания МБУК «Дворец культуры им. ХХХ-летия Победы» по адресу: г. Йошкар-Ола, ул. Первомайская, д. 109.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часть 1 статьи 105 Федерального закона от 05.04.2013 № 44-ФЗ «О контрактной системе в сфере закупок, товаров, работ, услуг для обеспечения государственных и муниципальных нужд» (далее - Закон о контрактной системе), при проведении конкурентных способов, при осуществлении закупки товара у единственного поставщика в электронной форме на сумму, предусмотренную частью 12 статьи 93 настоящего Федерального закона, участник закупки в соответствии с законодательством Российской Федерации имеет право обжаловать в судебном порядке или в порядке, установленном настоящей главой, в контрольный орган в сфере закупок действия (бездействие) субъекта (субъектов) контроля, если такие действия (бездействие) нарушают права и законные интересы участника закупки. При этом обжалование действий (бездействия) субъекта (субъектов) контроля в порядке, установленном настоящей главой, не является препятствием для обжалования таких действий (бездействия) в судебном порядке.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 пункта 2 части 2 статьи 105 Закона о контрактной системе следует, что подача участником закупки жалобы на действия (бездействие) субъекта (субъектов) контроля (далее также - жалоба) в контрольный орган в сфере закупок допускается в период определения поставщика (подрядчика, исполнителя), но не позднее пяти дней со дня, следующего за днем размещения в единой информационной системе протокола подведения итогов определения поставщика (подрядчика, исполнителя), подписания такого протокола ( при проведении закрытого конкурса, закрытого аукциона), с учетом того, что жалоба на действия (бездействие) субъекта (субъектов) контроля, совершенные после даты и времени окончания срока подачи заявок на участие в закупке, может быть подана исключительно участником закупки, подавшим заявку на участие в закупке.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Управление Федеральной антимонопольной службы по Республике Марий Эл в предусмотренные законом сроки поступила жалоба ООО «МВ Гарантстрой».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жалобе Заявителя, комиссия по осуществлению закупок не правильно произвела оценку заявки по критерию квалификация участников закупки, наличие у участников закупки опыта выполнения работы, по мнению заявителя при предоставлении документов об опыте работы, заявка не могла получить 0 баллов по нестоимостному критерию.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в письменных пояснениях возражал против довода жалобы, указал на законность результатов оценки заявок.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Изучив представленные документы и материалы, обсудив довод жалобы, выслушав участников дела, руководствуясь статьей 106 Закона о контрактной системе, Комиссия пришла к следующим выводам.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частью 6 статьи 106 Закона о контрактной системе рассмотрение жалобы не осуществляется в отношении результатов оценки заявок на участие в конкурсе в соответствии с указанными в пунктах 3 и 4 части 1 статьи 32 настоящего Федерального закона критериями оценки этих заявок, окончательных предложений.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пунктам 3, 4 части 1 статьи 32 Закона о контрактной системе для оценки заявок участников закупки заказчик использует следующие критерии: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качественные, функциональные и экологические характеристики объекта закупки;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0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квалификация участников закупки, в том числе наличие у них финансовых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Комиссия Марийского УФАС России отмечает, что доводы жалобы Заявителя сводится к соблюдению заказчиком установленного порядка оценки заявок по критерию, предусмотренному пунктом 4 части 1 статьи 32 Закона о контрактной системе, а не фактического начисления баллов (результатов оценки) по данному критерию.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изложенного, такие доводы жалобы подлежит рассмотрению антимонопольным органом в порядке статьи 106 закона о контрактной системе (определение Верховного Суда РФ от 21.07.2022 №305-ЭС22-11623 по делу №А40- 144554/2021, письмо ФАС России от 17.07.2023 № ДФ/56739/23).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Так, в соответствии с частью 8 статьи 32 Закона о контрактной системе порядок оценки заявок участников закупки, в том числе предельные величины значимости каждого критерия, устанавливаются положением об оценке заявок на участие в закупке товаров, работ, услуг для обеспечения государственных и муниципальных нужд, утвержденным постановлением Правительства Российской Федерации от 31.12.2021 №2604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20.12.2021 №2369 и признании утратившими силу некоторых актов и отдельных положений некоторых актов Правительства Российской Федерации» (далее — Положение).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Марийского УФАС России установлено, что заказчиком установлены следующие показатели для оценки, не противоречащие Положению: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1) цена контракта, сумма цен единиц товара, работы, услуги, значимость 60 %;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2) 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квалификации, значимость 40 %.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Заказчиком установлено, что для оценки по критерию Квалификация участников закупки, установлено 3 детализирующих показателя: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3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общая цена исполненных участником закупки договоров (значимость 30%);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3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общее количество исполненных участником закупки договоров (значимость 30%);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наибольшая цена одного из исполненных участником закупки договоров (значимость 40%).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26 Положения, оценка заявок по критерию оценки «квалификация участников закупки» осуществляется с учетом требований настоящего раздела в порядке, установленном пунктами 20 - 23 раздела IV настоящего Положения для оценки заявок по критерию оценки «характеристики объекта закупки».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подпунктом б пунктом 20 Положения, если значение характеристики объекта закупки, определенной количественным значением, находится в функциональной зависимости от значения количества присваиваемых баллов, значение количества баллов по детализирующему показателю, присваиваемых заявке, подлежащей в соответствии с Федеральным законом оценке по критерию оценки "характеристики объекта закупки" (БХ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,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). в случае, если лучшим является наибольшее значение характеристики объекта закупки, - рассчитывается по следующей формуле: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БХ= </w:t>
      </w:r>
      <w:r>
        <w:rPr>
          <w:color w:val="000000"/>
          <w:spacing w:val="0"/>
          <w:w w:val="100"/>
          <w:position w:val="0"/>
          <w:sz w:val="38"/>
          <w:szCs w:val="38"/>
          <w:shd w:val="clear" w:color="auto" w:fill="auto"/>
          <w:lang w:val="ru-RU" w:eastAsia="ru-RU" w:bidi="ru-RU"/>
        </w:rPr>
        <w:t>(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Х-Х</w:t>
      </w:r>
      <w:r>
        <w:rPr>
          <w:rFonts w:ascii="Georgia" w:eastAsia="Georgia" w:hAnsi="Georgia" w:cs="Georgia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ть</w:t>
      </w:r>
      <w:r>
        <w:rPr>
          <w:color w:val="000000"/>
          <w:spacing w:val="0"/>
          <w:w w:val="100"/>
          <w:position w:val="0"/>
          <w:sz w:val="38"/>
          <w:szCs w:val="38"/>
          <w:shd w:val="clear" w:color="auto" w:fill="auto"/>
          <w:lang w:val="ru-RU" w:eastAsia="ru-RU" w:bidi="ru-RU"/>
        </w:rPr>
        <w:t xml:space="preserve">)* </w:t>
      </w:r>
      <w:r>
        <w:rPr>
          <w:strike/>
          <w:color w:val="000000"/>
          <w:spacing w:val="0"/>
          <w:w w:val="100"/>
          <w:position w:val="0"/>
          <w:shd w:val="clear" w:color="auto" w:fill="auto"/>
          <w:vertAlign w:val="superscript"/>
          <w:lang w:val="ru-RU" w:eastAsia="ru-RU" w:bidi="ru-RU"/>
        </w:rPr>
        <w:t>10</w:t>
      </w:r>
      <w:r>
        <w:rPr>
          <w:strike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0.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;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line="0" w:lineRule="atLeast"/>
        <w:ind w:right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Х -Х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тах тт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Установлено, что данная методика описана в Приложение №4 к извещению о проведении электронного конкурса (порядок рассмотрения и оценки заявок на участие в конкурсах) и применяется ко всем детализирующим показателям.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подведения итогов определения поставщика (подрядчика, исполнителя) от 09.10.2024 №ИЭОК1, на участие в электронном конкурсе подано 3 (Три) заявки с идентификационными номерами 5, 38, 247.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Марийского УФАС России проанализировав заявки участников закупки установила, что участниками представлены следующие сведения для оценки по нестоимостному критерию (таблица).</w:t>
      </w:r>
    </w:p>
    <w:tbl>
      <w:tblPr>
        <w:tblOverlap w:val="never"/>
        <w:jc w:val="center"/>
        <w:tblLayout w:type="fixed"/>
      </w:tblPr>
      <w:tblGrid>
        <w:gridCol w:w="2030"/>
        <w:gridCol w:w="2818"/>
        <w:gridCol w:w="2808"/>
        <w:gridCol w:w="2880"/>
      </w:tblGrid>
      <w:tr>
        <w:trPr>
          <w:trHeight w:val="52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Детализирующие показатели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8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Заявка 247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Заявка 38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Заявка 5</w:t>
            </w:r>
          </w:p>
        </w:tc>
      </w:tr>
      <w:tr>
        <w:trPr>
          <w:trHeight w:val="193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8" w:lineRule="auto"/>
              <w:ind w:left="0" w:right="0" w:firstLine="54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Общая цена исполненных участником закупки договоров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8" w:lineRule="auto"/>
              <w:ind w:left="140" w:right="0" w:firstLine="84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443 966 961.95 БХ=(443966961,95 12678119,49)</w:t>
            </w: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vertAlign w:val="superscript"/>
                <w:lang w:val="ru-RU" w:eastAsia="ru-RU" w:bidi="ru-RU"/>
              </w:rPr>
              <w:t>Л</w:t>
            </w: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100/62596 7114,80-</w:t>
            </w:r>
          </w:p>
          <w:p>
            <w:pPr>
              <w:pStyle w:val="Style3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8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12678119,49=70,32 баллов</w:t>
            </w:r>
          </w:p>
          <w:p>
            <w:pPr>
              <w:pStyle w:val="Style3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8" w:lineRule="auto"/>
              <w:ind w:left="0" w:right="0" w:firstLine="14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70,32*30%=22,10 баллов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82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625 967114.80 БХ=(625967114,80 12678119,49)*100/62596 7114,80</w:t>
              <w:softHyphen/>
              <w:t>12678119,49-100 баллов 100*30%=30 баллов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8" w:lineRule="auto"/>
              <w:ind w:left="140" w:right="0" w:firstLine="78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12 678 119.49 БХ=(12678119,49 12678119,49)* 100/625967 114,80- 12678119,49=0 баллов 0*30%=0 баллов</w:t>
            </w:r>
          </w:p>
        </w:tc>
      </w:tr>
      <w:tr>
        <w:trPr>
          <w:trHeight w:val="167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Общее количество исполненных участником закупки договоров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44</w:t>
            </w:r>
          </w:p>
          <w:p>
            <w:pPr>
              <w:pStyle w:val="Style3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480" w:right="0" w:hanging="34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БХ-(44-7)* 100/44-7=100 баллов 100*30%=30 баллов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130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42 БХ=(42-7)* 100/44- 7=94,59 баллов 94.59*30%=28Д§ баллов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140" w:right="0" w:firstLine="124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7 БХ=(7-7)* 100/44-7=0 баллов 0*30%=0 баллов</w:t>
            </w:r>
          </w:p>
        </w:tc>
      </w:tr>
      <w:tr>
        <w:trPr>
          <w:trHeight w:val="166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8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Наибольшая цена одного из исполненных участником закупки договоров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5"/>
              <w:keepNext w:val="0"/>
              <w:keepLines w:val="0"/>
              <w:widowControl w:val="0"/>
              <w:shd w:val="clear" w:color="auto" w:fill="auto"/>
              <w:tabs>
                <w:tab w:pos="2194" w:val="left"/>
              </w:tabs>
              <w:bidi w:val="0"/>
              <w:spacing w:before="0" w:after="0" w:line="286" w:lineRule="auto"/>
              <w:ind w:left="0" w:right="0" w:firstLine="98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103 500 000,00 БХ=(103500000,00 - 3571800,64)* 100/127023</w:t>
              <w:tab/>
              <w:t>269,71-</w:t>
            </w:r>
          </w:p>
          <w:p>
            <w:pPr>
              <w:pStyle w:val="Style3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360" w:right="0" w:hanging="36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3571800,64=80,95 баллов 80,95*40%=32,38 баллов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127 023 269.71 БХ=(127023269,71 3571800,64)* 100/127023 269,71- 3571800,64=100 баллов 100*40%=40 баллов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3 571800.64</w:t>
            </w:r>
          </w:p>
          <w:p>
            <w:pPr>
              <w:pStyle w:val="Style3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14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БХ=(3 571800,64 3571800,64)* 100/1270232 69,71-3571800,64=0 баллов</w:t>
            </w:r>
          </w:p>
          <w:p>
            <w:pPr>
              <w:pStyle w:val="Style3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14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0*40%=0 баллов</w:t>
            </w:r>
          </w:p>
        </w:tc>
      </w:tr>
      <w:tr>
        <w:trPr>
          <w:trHeight w:val="85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3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Итоговый рейтинг заявки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3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21,10+30+32,3 8=83,48</w:t>
            </w:r>
          </w:p>
          <w:p>
            <w:pPr>
              <w:pStyle w:val="Style3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83,48*40%=33,39 баллов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3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30+28,38+40=98,38</w:t>
            </w:r>
          </w:p>
          <w:p>
            <w:pPr>
              <w:pStyle w:val="Style3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98,38*40%=39,35 баллов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0+0+0= 0*40%=0 баллов</w:t>
            </w:r>
          </w:p>
        </w:tc>
      </w:tr>
    </w:tbl>
    <w:p>
      <w:pPr>
        <w:widowControl w:val="0"/>
        <w:spacing w:after="199" w:line="1" w:lineRule="exact"/>
      </w:pP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 указанной таблицы следует, что исходя из положений порядка рассмотрения и оценки заявок на участие в конкурсе, Заказчик подвел итоги проведения конкурса в соответствии с законодательством о контрактной системе. Так как, участником закупки с идентификационным номером 5, было представлено наименьшее количество исполненных контрактов (договоров), в связи с чем ему правомерно присвоено 0 баллов.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Марийского УФАС России обращает внимание подателя жалобы, что исходя из утвержденной формулы, участник закупки заявившей к оценке наименьшее количество договоров (контрактов) и (или) наименьшее значение цены договора (контракта), наименьшее значение сумм договоров (контрактов) всегда получает наименьшее количество баллов, а именно 0.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Марийского УФАС России приходит к выводу, что довод Заявителя не нашел своего подтверждения и является необоснованным.</w:t>
      </w:r>
      <w:r>
        <w:br w:type="page"/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Частью 8 статьи 106 Закона о контрактной системе предусмотрено, что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и руководствуясь частью 8 статьи 106 Закона о контрактной системе, Комиссия,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16" w:name="bookmark1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  <w:bookmarkEnd w:id="16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1.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«МВ Гарантстрой» необоснованной.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21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2.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Требование о приостановлении процедуры закупки отменить.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rPr>
          <w:sz w:val="24"/>
          <w:szCs w:val="24"/>
        </w:rPr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9 статьи 106 Закона о контрактной системе решение, принятое по результатам рассмотрения жалобы,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74" w:right="361" w:bottom="1193" w:left="98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01600" distB="371475" distL="0" distR="0" simplePos="0" relativeHeight="125829378" behindDoc="0" locked="0" layoutInCell="1" allowOverlap="1">
                <wp:simplePos x="0" y="0"/>
                <wp:positionH relativeFrom="page">
                  <wp:posOffset>757555</wp:posOffset>
                </wp:positionH>
                <wp:positionV relativeFrom="paragraph">
                  <wp:posOffset>101600</wp:posOffset>
                </wp:positionV>
                <wp:extent cx="1700530" cy="234950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0053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9.649999999999999pt;margin-top:8.pt;width:133.90000000000001pt;height:18.5pt;z-index:-125829375;mso-wrap-distance-left:0;mso-wrap-distance-top:8.pt;mso-wrap-distance-right:0;mso-wrap-distance-bottom:29.25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74625" distB="0" distL="0" distR="1786255" simplePos="0" relativeHeight="125829380" behindDoc="0" locked="0" layoutInCell="1" allowOverlap="1">
            <wp:simplePos x="0" y="0"/>
            <wp:positionH relativeFrom="page">
              <wp:posOffset>2677795</wp:posOffset>
            </wp:positionH>
            <wp:positionV relativeFrom="paragraph">
              <wp:posOffset>174625</wp:posOffset>
            </wp:positionV>
            <wp:extent cx="353695" cy="53657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3134995</wp:posOffset>
                </wp:positionH>
                <wp:positionV relativeFrom="paragraph">
                  <wp:posOffset>577215</wp:posOffset>
                </wp:positionV>
                <wp:extent cx="1280160" cy="10033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BEBEB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46.84999999999999pt;margin-top:45.45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BEBEB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3092450</wp:posOffset>
                </wp:positionH>
                <wp:positionV relativeFrom="paragraph">
                  <wp:posOffset>262890</wp:posOffset>
                </wp:positionV>
                <wp:extent cx="1722120" cy="25590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3.5pt;margin-top:20.699999999999999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01600" distB="371475" distL="0" distR="0" simplePos="0" relativeHeight="125829381" behindDoc="0" locked="0" layoutInCell="1" allowOverlap="1">
                <wp:simplePos x="0" y="0"/>
                <wp:positionH relativeFrom="page">
                  <wp:posOffset>6115685</wp:posOffset>
                </wp:positionH>
                <wp:positionV relativeFrom="paragraph">
                  <wp:posOffset>101600</wp:posOffset>
                </wp:positionV>
                <wp:extent cx="1088390" cy="23495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8839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А.В. Бастраков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81.55000000000001pt;margin-top:8.pt;width:85.700000000000003pt;height:18.5pt;z-index:-125829372;mso-wrap-distance-left:0;mso-wrap-distance-top:8.pt;mso-wrap-distance-right:0;mso-wrap-distance-bottom:29.25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А.В. Бастраков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4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Бастраков Артем Валерьевич</w:t>
      </w:r>
    </w:p>
    <w:p>
      <w:pPr>
        <w:pStyle w:val="Style4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 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В4С0Е682ЕВО9В63С7633О25А5Е359В4</w:t>
      </w:r>
    </w:p>
    <w:p>
      <w:pPr>
        <w:pStyle w:val="Style40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15.01.2024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09.04.2025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0"/>
        <w:jc w:val="right"/>
      </w:pPr>
      <w:r>
        <w:drawing>
          <wp:anchor distT="0" distB="0" distL="114300" distR="1900555" simplePos="0" relativeHeight="125829383" behindDoc="0" locked="0" layoutInCell="1" allowOverlap="1">
            <wp:simplePos x="0" y="0"/>
            <wp:positionH relativeFrom="page">
              <wp:posOffset>2677795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3134995</wp:posOffset>
                </wp:positionH>
                <wp:positionV relativeFrom="paragraph">
                  <wp:posOffset>466090</wp:posOffset>
                </wp:positionV>
                <wp:extent cx="1280160" cy="10033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BEBEB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6.84999999999999pt;margin-top:36.700000000000003pt;width:100.8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BEBEB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3092450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3.5pt;margin-top:11.950000000000001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В.А. Токпаева</w:t>
      </w:r>
    </w:p>
    <w:p>
      <w:pPr>
        <w:pStyle w:val="Style4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Токпаева Виктория Александровна</w:t>
      </w:r>
    </w:p>
    <w:p>
      <w:pPr>
        <w:pStyle w:val="Style4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536А94АР7С5С7172ЕВАР5В5О5О0С8В7Р</w:t>
      </w:r>
    </w:p>
    <w:p>
      <w:pPr>
        <w:pStyle w:val="Style40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>22.12.2023 по 16.03.2025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0"/>
        <w:jc w:val="righ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2677795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3134995</wp:posOffset>
                </wp:positionH>
                <wp:positionV relativeFrom="paragraph">
                  <wp:posOffset>462915</wp:posOffset>
                </wp:positionV>
                <wp:extent cx="1286510" cy="1035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651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BEBEB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6.84999999999999pt;margin-top:36.450000000000003pt;width:101.3pt;height:8.15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BEBEB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3092450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3.5pt;margin-top:11.950000000000001pt;width:135.59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И.Н. Ухова</w:t>
      </w:r>
    </w:p>
    <w:p>
      <w:pPr>
        <w:pStyle w:val="Style4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2222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Ухова Инна Николаевна</w:t>
      </w:r>
    </w:p>
    <w:p>
      <w:pPr>
        <w:pStyle w:val="Style4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009ВР7АЕ09537Е061</w:t>
      </w:r>
      <w:r>
        <w:rPr>
          <w:color w:val="222222"/>
          <w:spacing w:val="0"/>
          <w:w w:val="100"/>
          <w:position w:val="0"/>
          <w:shd w:val="clear" w:color="auto" w:fill="auto"/>
          <w:lang w:val="ru-RU" w:eastAsia="ru-RU" w:bidi="ru-RU"/>
        </w:rPr>
        <w:t>0Е31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7А14САЕ13АЕР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</w:t>
      </w:r>
    </w:p>
    <w:p>
      <w:pPr>
        <w:pStyle w:val="Style40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right="0" w:firstLine="0"/>
        <w:jc w:val="left"/>
      </w:pP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2222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27.04.2024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>21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.07.2025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1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742315</wp:posOffset>
              </wp:positionH>
              <wp:positionV relativeFrom="page">
                <wp:posOffset>9998710</wp:posOffset>
              </wp:positionV>
              <wp:extent cx="64897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2024-5376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8.450000000000003pt;margin-top:787.30000000000007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2024-5376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2024-5376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2024-5376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Основной текст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character" w:customStyle="1" w:styleId="CharStyle11">
    <w:name w:val="Заголовок №2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5">
    <w:name w:val="Заголовок №3_"/>
    <w:basedOn w:val="DefaultParagraphFont"/>
    <w:link w:val="Style1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8">
    <w:name w:val="Основной текст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2">
    <w:name w:val="Подпись к картинке_"/>
    <w:basedOn w:val="DefaultParagraphFont"/>
    <w:link w:val="Style2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22222"/>
      <w:sz w:val="11"/>
      <w:szCs w:val="11"/>
      <w:u w:val="none"/>
    </w:rPr>
  </w:style>
  <w:style w:type="character" w:customStyle="1" w:styleId="CharStyle27">
    <w:name w:val="Заголовок №1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33">
    <w:name w:val="Основной текст (5)_"/>
    <w:basedOn w:val="DefaultParagraphFont"/>
    <w:link w:val="Style32"/>
    <w:rPr>
      <w:rFonts w:ascii="Georgia" w:eastAsia="Georgia" w:hAnsi="Georgia" w:cs="Georgia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CharStyle36">
    <w:name w:val="Другое_"/>
    <w:basedOn w:val="DefaultParagraphFont"/>
    <w:link w:val="Style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41">
    <w:name w:val="Основной текст (2)_"/>
    <w:basedOn w:val="DefaultParagraphFont"/>
    <w:link w:val="Style40"/>
    <w:rPr>
      <w:rFonts w:ascii="Arial" w:eastAsia="Arial" w:hAnsi="Arial" w:cs="Arial"/>
      <w:b w:val="0"/>
      <w:bCs w:val="0"/>
      <w:i w:val="0"/>
      <w:iCs w:val="0"/>
      <w:smallCaps w:val="0"/>
      <w:strike w:val="0"/>
      <w:color w:val="484848"/>
      <w:sz w:val="12"/>
      <w:szCs w:val="1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2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paragraph" w:customStyle="1" w:styleId="Style10">
    <w:name w:val="Заголовок №2"/>
    <w:basedOn w:val="Normal"/>
    <w:link w:val="CharStyle11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4">
    <w:name w:val="Заголовок №3"/>
    <w:basedOn w:val="Normal"/>
    <w:link w:val="CharStyle15"/>
    <w:pPr>
      <w:widowControl w:val="0"/>
      <w:shd w:val="clear" w:color="auto" w:fill="auto"/>
      <w:spacing w:after="260"/>
      <w:outlineLvl w:val="2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17">
    <w:name w:val="Основной текст"/>
    <w:basedOn w:val="Normal"/>
    <w:link w:val="CharStyle18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1">
    <w:name w:val="Подпись к картинке"/>
    <w:basedOn w:val="Normal"/>
    <w:link w:val="CharStyle22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22222"/>
      <w:sz w:val="11"/>
      <w:szCs w:val="11"/>
      <w:u w:val="none"/>
    </w:rPr>
  </w:style>
  <w:style w:type="paragraph" w:customStyle="1" w:styleId="Style26">
    <w:name w:val="Заголовок №1"/>
    <w:basedOn w:val="Normal"/>
    <w:link w:val="CharStyle27"/>
    <w:pPr>
      <w:widowControl w:val="0"/>
      <w:shd w:val="clear" w:color="auto" w:fill="auto"/>
      <w:spacing w:after="5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32">
    <w:name w:val="Основной текст (5)"/>
    <w:basedOn w:val="Normal"/>
    <w:link w:val="CharStyle33"/>
    <w:pPr>
      <w:widowControl w:val="0"/>
      <w:shd w:val="clear" w:color="auto" w:fill="auto"/>
      <w:spacing w:after="260" w:line="72" w:lineRule="exact"/>
      <w:ind w:left="5680" w:hanging="20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Style35">
    <w:name w:val="Другое"/>
    <w:basedOn w:val="Normal"/>
    <w:link w:val="CharStyle36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40">
    <w:name w:val="Основной текст (2)"/>
    <w:basedOn w:val="Normal"/>
    <w:link w:val="CharStyle41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84848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Постановление Правительства РФ от 31.12.2021 N 2604(ред. от 23.09.2024)"Об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N 2369 и признании утратившими силу некоторых актов и отдельных положений некоторых актов Правительства Российской Федерации"</dc:title>
  <dc:subject/>
  <dc:creator/>
  <cp:keywords/>
</cp:coreProperties>
</file>