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61" w:line="1" w:lineRule="exact"/>
      </w:pPr>
      <w:r>
        <w:drawing>
          <wp:anchor distT="0" distB="0" distL="0" distR="0" simplePos="0" relativeHeight="62914690" behindDoc="1" locked="0" layoutInCell="1" allowOverlap="1">
            <wp:simplePos x="0" y="0"/>
            <wp:positionH relativeFrom="page">
              <wp:posOffset>1848485</wp:posOffset>
            </wp:positionH>
            <wp:positionV relativeFrom="margin">
              <wp:posOffset>0</wp:posOffset>
            </wp:positionV>
            <wp:extent cx="384175" cy="42037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84175" cy="420370"/>
                    </a:xfrm>
                    <a:prstGeom prst="rect"/>
                  </pic:spPr>
                </pic:pic>
              </a:graphicData>
            </a:graphic>
          </wp:anchor>
        </w:drawing>
      </w:r>
    </w:p>
    <w:p>
      <w:pPr>
        <w:widowControl w:val="0"/>
        <w:spacing w:line="1" w:lineRule="exact"/>
        <w:sectPr>
          <w:footerReference w:type="default" r:id="rId7"/>
          <w:footerReference w:type="first" r:id="rId8"/>
          <w:footnotePr>
            <w:pos w:val="pageBottom"/>
            <w:numFmt w:val="decimal"/>
            <w:numRestart w:val="continuous"/>
          </w:footnotePr>
          <w:pgSz w:w="11900" w:h="16840"/>
          <w:pgMar w:top="394" w:right="526" w:bottom="1216" w:left="109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5"/>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A7B7C"/>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5"/>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4,10,2024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ЛИ/11860/</w:t>
      </w:r>
      <w:r>
        <w:rPr>
          <w:color w:val="000000"/>
          <w:spacing w:val="0"/>
          <w:w w:val="100"/>
          <w:position w:val="0"/>
          <w:sz w:val="30"/>
          <w:szCs w:val="30"/>
          <w:shd w:val="clear" w:color="auto" w:fill="auto"/>
          <w:lang w:val="ru-RU" w:eastAsia="ru-RU" w:bidi="ru-RU"/>
        </w:rPr>
        <w:t>24</w:t>
      </w:r>
    </w:p>
    <w:p>
      <w:pPr>
        <w:pStyle w:val="Style5"/>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«СтройДорСервис»</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680003, г. Хабаровск, пр-кт 60-летия</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Октября, д. 178б</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тГо@8Й827.ги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Краевое государственное казенное учреждение «Хабаровское управление автомобильных дорог»</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680021, Хабаровский край, Хабаровск г, ул, Некрасова,д, 51/лит, А</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тГо@кЪЪирМог,ги;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иргаи1о_тГо@кЬу.доу.ги</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Правительства Хабаровского края</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680000, г Хабаровск, ул. Фрунзе,</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 71, каб. 512</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94" w:right="599" w:bottom="1183" w:left="1130" w:header="0" w:footer="3" w:gutter="0"/>
          <w:cols w:num="2" w:space="720" w:equalWidth="0">
            <w:col w:w="4368" w:space="907"/>
            <w:col w:w="4896"/>
          </w:cols>
          <w:noEndnote/>
          <w:rtlGutter w:val="0"/>
          <w:docGrid w:linePitch="360"/>
        </w:sectPr>
      </w:pPr>
      <w:r>
        <w:rPr>
          <w:color w:val="000000"/>
          <w:spacing w:val="0"/>
          <w:w w:val="100"/>
          <w:position w:val="0"/>
          <w:shd w:val="clear" w:color="auto" w:fill="auto"/>
          <w:lang w:val="ru-RU" w:eastAsia="ru-RU" w:bidi="ru-RU"/>
        </w:rPr>
        <w:t>д/@к11\\ дохли</w:t>
      </w:r>
    </w:p>
    <w:p>
      <w:pPr>
        <w:widowControl w:val="0"/>
        <w:spacing w:line="171" w:lineRule="exact"/>
        <w:rPr>
          <w:sz w:val="14"/>
          <w:szCs w:val="14"/>
        </w:rPr>
      </w:pPr>
    </w:p>
    <w:p>
      <w:pPr>
        <w:widowControl w:val="0"/>
        <w:spacing w:line="1" w:lineRule="exact"/>
        <w:sectPr>
          <w:footnotePr>
            <w:pos w:val="pageBottom"/>
            <w:numFmt w:val="decimal"/>
            <w:numRestart w:val="continuous"/>
          </w:footnotePr>
          <w:type w:val="continuous"/>
          <w:pgSz w:w="11900" w:h="16840"/>
          <w:pgMar w:top="1083" w:right="0" w:bottom="1196" w:left="0" w:header="0" w:footer="3" w:gutter="0"/>
          <w:cols w:space="720"/>
          <w:noEndnote/>
          <w:rtlGutter w:val="0"/>
          <w:docGrid w:linePitch="360"/>
        </w:sectPr>
      </w:pPr>
    </w:p>
    <w:p>
      <w:pPr>
        <w:pStyle w:val="Style20"/>
        <w:keepNext/>
        <w:keepLines/>
        <w:widowControl w:val="0"/>
        <w:shd w:val="clear" w:color="auto" w:fill="auto"/>
        <w:bidi w:val="0"/>
        <w:spacing w:before="0" w:after="28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7-1/242</w:t>
      </w:r>
      <w:bookmarkEnd w:id="0"/>
    </w:p>
    <w:p>
      <w:pPr>
        <w:pStyle w:val="Style9"/>
        <w:keepNext w:val="0"/>
        <w:keepLines w:val="0"/>
        <w:widowControl w:val="0"/>
        <w:shd w:val="clear" w:color="auto" w:fill="auto"/>
        <w:tabs>
          <w:tab w:pos="8683" w:val="left"/>
        </w:tabs>
        <w:bidi w:val="0"/>
        <w:spacing w:before="0" w:after="280" w:line="240" w:lineRule="auto"/>
        <w:ind w:left="0" w:right="0" w:firstLine="0"/>
        <w:jc w:val="left"/>
      </w:pPr>
      <w:r>
        <w:rPr>
          <w:color w:val="000000"/>
          <w:spacing w:val="0"/>
          <w:w w:val="100"/>
          <w:position w:val="0"/>
          <w:shd w:val="clear" w:color="auto" w:fill="auto"/>
          <w:lang w:val="ru-RU" w:eastAsia="ru-RU" w:bidi="ru-RU"/>
        </w:rPr>
        <w:t>21.10.2024</w:t>
        <w:tab/>
        <w:t>г. Хабаровск</w:t>
      </w:r>
    </w:p>
    <w:p>
      <w:pPr>
        <w:pStyle w:val="Style9"/>
        <w:keepNext w:val="0"/>
        <w:keepLines w:val="0"/>
        <w:widowControl w:val="0"/>
        <w:shd w:val="clear" w:color="auto" w:fill="auto"/>
        <w:bidi w:val="0"/>
        <w:spacing w:before="0" w:after="36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в сфере закупок:</w:t>
      </w:r>
    </w:p>
    <w:tbl>
      <w:tblPr>
        <w:tblOverlap w:val="never"/>
        <w:jc w:val="center"/>
        <w:tblLayout w:type="fixed"/>
      </w:tblPr>
      <w:tblGrid>
        <w:gridCol w:w="5746"/>
        <w:gridCol w:w="4522"/>
      </w:tblGrid>
      <w:tr>
        <w:trPr>
          <w:trHeight w:val="802"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Ильченко Л.А.</w:t>
            </w:r>
          </w:p>
        </w:tc>
        <w:tc>
          <w:tcPr>
            <w:tcBorders/>
            <w:shd w:val="clear" w:color="auto" w:fill="auto"/>
            <w:vAlign w:val="top"/>
          </w:tcPr>
          <w:p>
            <w:pPr>
              <w:pStyle w:val="Style22"/>
              <w:keepNext w:val="0"/>
              <w:keepLines w:val="0"/>
              <w:widowControl w:val="0"/>
              <w:shd w:val="clear" w:color="auto" w:fill="auto"/>
              <w:tabs>
                <w:tab w:pos="701" w:val="left"/>
                <w:tab w:pos="2774" w:val="left"/>
              </w:tabs>
              <w:bidi w:val="0"/>
              <w:spacing w:before="0" w:after="0" w:line="240" w:lineRule="auto"/>
              <w:ind w:left="0" w:right="0" w:firstLine="0"/>
              <w:jc w:val="left"/>
            </w:pPr>
            <w:r>
              <w:rPr>
                <w:color w:val="000000"/>
                <w:spacing w:val="0"/>
                <w:w w:val="100"/>
                <w:position w:val="0"/>
                <w:shd w:val="clear" w:color="auto" w:fill="auto"/>
                <w:lang w:val="ru-RU" w:eastAsia="ru-RU" w:bidi="ru-RU"/>
              </w:rPr>
              <w:t>-</w:t>
              <w:tab/>
              <w:t>заместитель</w:t>
              <w:tab/>
              <w:t>руководителя</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управления.</w:t>
            </w:r>
          </w:p>
        </w:tc>
      </w:tr>
      <w:tr>
        <w:trPr>
          <w:trHeight w:val="965" w:hRule="exact"/>
        </w:trPr>
        <w:tc>
          <w:tcPr>
            <w:tcBorders/>
            <w:shd w:val="clear" w:color="auto" w:fill="auto"/>
            <w:vAlign w:val="top"/>
          </w:tcPr>
          <w:p>
            <w:pPr>
              <w:pStyle w:val="Style22"/>
              <w:keepNext w:val="0"/>
              <w:keepLines w:val="0"/>
              <w:widowControl w:val="0"/>
              <w:shd w:val="clear" w:color="auto" w:fill="auto"/>
              <w:tabs>
                <w:tab w:pos="3403" w:val="left"/>
              </w:tabs>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tab/>
              <w:t>Кушнер Ж.В.</w:t>
            </w:r>
          </w:p>
        </w:tc>
        <w:tc>
          <w:tcPr>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797" w:hRule="exact"/>
        </w:trPr>
        <w:tc>
          <w:tcPr>
            <w:tcBorders/>
            <w:shd w:val="clear" w:color="auto" w:fill="auto"/>
            <w:vAlign w:val="center"/>
          </w:tcPr>
          <w:p>
            <w:pPr>
              <w:pStyle w:val="Style22"/>
              <w:keepNext w:val="0"/>
              <w:keepLines w:val="0"/>
              <w:widowControl w:val="0"/>
              <w:shd w:val="clear" w:color="auto" w:fill="auto"/>
              <w:bidi w:val="0"/>
              <w:spacing w:before="0" w:after="0" w:line="240" w:lineRule="auto"/>
              <w:ind w:left="3420" w:right="0" w:firstLine="0"/>
              <w:jc w:val="left"/>
            </w:pPr>
            <w:r>
              <w:rPr>
                <w:color w:val="000000"/>
                <w:spacing w:val="0"/>
                <w:w w:val="100"/>
                <w:position w:val="0"/>
                <w:shd w:val="clear" w:color="auto" w:fill="auto"/>
                <w:lang w:val="ru-RU" w:eastAsia="ru-RU" w:bidi="ru-RU"/>
              </w:rPr>
              <w:t>Пилипенко М.А.</w:t>
            </w:r>
          </w:p>
        </w:tc>
        <w:tc>
          <w:tcPr>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widowControl w:val="0"/>
        <w:spacing w:after="279" w:line="1" w:lineRule="exact"/>
      </w:pP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9"/>
        <w:keepNext w:val="0"/>
        <w:keepLines w:val="0"/>
        <w:widowControl w:val="0"/>
        <w:shd w:val="clear" w:color="auto" w:fill="auto"/>
        <w:bidi w:val="0"/>
        <w:spacing w:before="0" w:after="400" w:line="240" w:lineRule="auto"/>
        <w:ind w:left="0" w:right="0" w:firstLine="740"/>
        <w:jc w:val="both"/>
      </w:pPr>
      <w:r>
        <w:rPr>
          <w:color w:val="000000"/>
          <w:spacing w:val="0"/>
          <w:w w:val="100"/>
          <w:position w:val="0"/>
          <w:shd w:val="clear" w:color="auto" w:fill="auto"/>
          <w:lang w:val="ru-RU" w:eastAsia="ru-RU" w:bidi="ru-RU"/>
        </w:rPr>
        <w:t>- от заказчика - краевого государственного казенного учреждения</w:t>
      </w:r>
    </w:p>
    <w:p>
      <w:pPr>
        <w:pStyle w:val="Style24"/>
        <w:keepNext w:val="0"/>
        <w:keepLines w:val="0"/>
        <w:widowControl w:val="0"/>
        <w:shd w:val="clear" w:color="auto" w:fill="auto"/>
        <w:bidi w:val="0"/>
        <w:spacing w:before="0" w:line="240" w:lineRule="auto"/>
        <w:ind w:left="0" w:right="0" w:firstLine="0"/>
        <w:jc w:val="left"/>
      </w:pPr>
      <w:r>
        <w:rPr>
          <w:color w:val="000000"/>
          <w:spacing w:val="0"/>
          <w:w w:val="100"/>
          <w:position w:val="0"/>
          <w:sz w:val="52"/>
          <w:szCs w:val="52"/>
          <w:shd w:val="clear" w:color="auto" w:fill="auto"/>
          <w:lang w:val="ru-RU" w:eastAsia="ru-RU" w:bidi="ru-RU"/>
        </w:rPr>
        <w:t>11111111111</w:t>
      </w:r>
      <w:r>
        <w:rPr>
          <w:color w:val="000000"/>
          <w:spacing w:val="0"/>
          <w:w w:val="100"/>
          <w:position w:val="0"/>
          <w:shd w:val="clear" w:color="auto" w:fill="auto"/>
          <w:lang w:val="ru-RU" w:eastAsia="ru-RU" w:bidi="ru-RU"/>
        </w:rPr>
        <w:t>1111111111111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«Хабаровское управление автомобильных дорог» Филипенко Д.О. по доверенности от 18.10.2024 № 111, Яковлева И.В. по доверенности от 18.10.2024 № 112, Николавева М.В. от 18.10.2024 № 110;</w:t>
      </w:r>
    </w:p>
    <w:p>
      <w:pPr>
        <w:pStyle w:val="Style9"/>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от уполномоченного органа - комитета государственного заказа Правительства Хабаровского края Батуриной П.А по доверенности от 18.09.2024 № 5, в отсутствие представителей заявителя - общества с ограниченной ответственностью «СтройДорСервис» (о дате, времени и месте рассмотрения жалобы Общество уведомлено надлежащим образом),</w:t>
      </w:r>
    </w:p>
    <w:p>
      <w:pPr>
        <w:pStyle w:val="Style9"/>
        <w:keepNext w:val="0"/>
        <w:keepLines w:val="0"/>
        <w:widowControl w:val="0"/>
        <w:shd w:val="clear" w:color="auto" w:fill="auto"/>
        <w:bidi w:val="0"/>
        <w:spacing w:before="0" w:after="280" w:line="240" w:lineRule="auto"/>
        <w:ind w:left="160" w:right="0" w:firstLine="72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«СтройДорСервис» (далее также - ООО «СтройДорСервис», Общество, заявитель) и материалы дела № 027/06/105-1544/2024,</w:t>
      </w:r>
    </w:p>
    <w:p>
      <w:pPr>
        <w:pStyle w:val="Style20"/>
        <w:keepNext/>
        <w:keepLines/>
        <w:widowControl w:val="0"/>
        <w:shd w:val="clear" w:color="auto" w:fill="auto"/>
        <w:bidi w:val="0"/>
        <w:spacing w:before="0" w:after="8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также - Хабаровское УФАС России) поступила жалоба ООО «СтройДорСервис» на действия заказчика - краевого государственного казенного учреждения «Хабаровское управление автомобильных дорог» (далее также - КГКУ «Хабаровскуправавтодор», заказчик), уполномоченного органа - комитета государственного заказа Правительства Хабаровского края (далее также - уполномоченный орган) при осуществлении закупки путем проведения электронного аукциона на выполнение работ по ремонту объекта «Автомобильная дорога «г. Хабаровск - с. Мичуринское - с. Федоровка - с. Смирновка - с. Галкино» на участке км 19+830 - км 23+600» (извещение № 0122200002524003978).</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В жалобе заявитель указывает на несоответствие извещения о проведении спорной закупки требованиям законодательства о контрактной системе в сфере закупок, а именно:</w:t>
      </w:r>
    </w:p>
    <w:p>
      <w:pPr>
        <w:pStyle w:val="Style9"/>
        <w:keepNext w:val="0"/>
        <w:keepLines w:val="0"/>
        <w:widowControl w:val="0"/>
        <w:numPr>
          <w:ilvl w:val="0"/>
          <w:numId w:val="1"/>
        </w:numPr>
        <w:shd w:val="clear" w:color="auto" w:fill="auto"/>
        <w:tabs>
          <w:tab w:pos="1220"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Заказчиком в приложении к проекту контракта (раздел «Гарантийные сроки» Извещения) неправомерно установлен гарантийный срок на обочины - 2 года, при установлении гарантийных сроков на верхний слой дорожного покрытия из асфальтобетона:</w:t>
      </w:r>
    </w:p>
    <w:p>
      <w:pPr>
        <w:pStyle w:val="Style9"/>
        <w:keepNext w:val="0"/>
        <w:keepLines w:val="0"/>
        <w:widowControl w:val="0"/>
        <w:numPr>
          <w:ilvl w:val="0"/>
          <w:numId w:val="3"/>
        </w:numPr>
        <w:shd w:val="clear" w:color="auto" w:fill="auto"/>
        <w:tabs>
          <w:tab w:pos="109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(км 19+830 - км 20-663) - 7 лет;</w:t>
      </w:r>
    </w:p>
    <w:p>
      <w:pPr>
        <w:pStyle w:val="Style9"/>
        <w:keepNext w:val="0"/>
        <w:keepLines w:val="0"/>
        <w:widowControl w:val="0"/>
        <w:numPr>
          <w:ilvl w:val="0"/>
          <w:numId w:val="3"/>
        </w:numPr>
        <w:shd w:val="clear" w:color="auto" w:fill="auto"/>
        <w:tabs>
          <w:tab w:pos="109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(км 20+663- км 23-600) - 6 лет;</w:t>
      </w:r>
    </w:p>
    <w:p>
      <w:pPr>
        <w:pStyle w:val="Style9"/>
        <w:keepNext w:val="0"/>
        <w:keepLines w:val="0"/>
        <w:widowControl w:val="0"/>
        <w:numPr>
          <w:ilvl w:val="0"/>
          <w:numId w:val="3"/>
        </w:numPr>
        <w:shd w:val="clear" w:color="auto" w:fill="auto"/>
        <w:tabs>
          <w:tab w:pos="109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посадочной площадки - 5 лет.</w:t>
      </w:r>
    </w:p>
    <w:p>
      <w:pPr>
        <w:pStyle w:val="Style9"/>
        <w:keepNext w:val="0"/>
        <w:keepLines w:val="0"/>
        <w:widowControl w:val="0"/>
        <w:numPr>
          <w:ilvl w:val="0"/>
          <w:numId w:val="1"/>
        </w:numPr>
        <w:shd w:val="clear" w:color="auto" w:fill="auto"/>
        <w:tabs>
          <w:tab w:pos="1220"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Указанные заказчиком в части 3 приложения к Техническому заданию СНиП 12-03-2001 и СНиП 12-04-2002 не могут являться надлежащими нормативными правовыми актами в связи с тем, что Приказом Минтруда России от 11.12.2020 № 883н утверждены новые правила по охране труда при строительстве. Также, Постановлением Правительства РФ от 26.12.2014 № 1521 утвержден обновленный перечень национальных стандартов и сводов правил, в котором указанные СНиПы не упомянуты, следовательно, данные СНиПы утратили свою силу, т.е. являются недействующими.</w:t>
      </w:r>
    </w:p>
    <w:p>
      <w:pPr>
        <w:pStyle w:val="Style9"/>
        <w:keepNext w:val="0"/>
        <w:keepLines w:val="0"/>
        <w:widowControl w:val="0"/>
        <w:numPr>
          <w:ilvl w:val="0"/>
          <w:numId w:val="1"/>
        </w:numPr>
        <w:shd w:val="clear" w:color="auto" w:fill="auto"/>
        <w:tabs>
          <w:tab w:pos="1216" w:val="left"/>
        </w:tabs>
        <w:bidi w:val="0"/>
        <w:spacing w:before="0" w:after="180" w:line="240" w:lineRule="auto"/>
        <w:ind w:left="160" w:right="0" w:firstLine="720"/>
        <w:jc w:val="both"/>
      </w:pPr>
      <w:r>
        <w:rPr>
          <w:color w:val="000000"/>
          <w:spacing w:val="0"/>
          <w:w w:val="100"/>
          <w:position w:val="0"/>
          <w:shd w:val="clear" w:color="auto" w:fill="auto"/>
          <w:lang w:val="ru-RU" w:eastAsia="ru-RU" w:bidi="ru-RU"/>
        </w:rPr>
        <w:t>В извещении о проведении спорной закупки заказчиком установлены противоречивые сроки в части исполнения контракта и выполнения работ в рамках контракта, заключаемого по результатам закупки.</w:t>
      </w:r>
    </w:p>
    <w:p>
      <w:pPr>
        <w:pStyle w:val="Style9"/>
        <w:keepNext w:val="0"/>
        <w:keepLines w:val="0"/>
        <w:widowControl w:val="0"/>
        <w:numPr>
          <w:ilvl w:val="0"/>
          <w:numId w:val="1"/>
        </w:numPr>
        <w:shd w:val="clear" w:color="auto" w:fill="auto"/>
        <w:tabs>
          <w:tab w:pos="1244" w:val="left"/>
        </w:tabs>
        <w:bidi w:val="0"/>
        <w:spacing w:before="0" w:after="0" w:line="240" w:lineRule="auto"/>
        <w:ind w:left="160" w:right="0" w:firstLine="720"/>
        <w:jc w:val="both"/>
      </w:pPr>
      <w:r>
        <w:rPr>
          <w:color w:val="000000"/>
          <w:spacing w:val="0"/>
          <w:w w:val="100"/>
          <w:position w:val="0"/>
          <w:shd w:val="clear" w:color="auto" w:fill="auto"/>
          <w:lang w:val="ru-RU" w:eastAsia="ru-RU" w:bidi="ru-RU"/>
        </w:rPr>
        <w:t>Из извещения о проведении спорной закупки непонятно, какие дорожные условия установлены для участка дороги «Автомобильная дорога «г. Хабаровск - с. Мичуринское - с. Федоровка - с. Смирновка - с. Галкино» на участке км 19+830 - км 23+600».</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В рамках поступившей жалобы, на основании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 44-ФЗ), Хабаровским УФАС России принято решение о проведении внеплановой проверки.</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В ходе проведения контрольного мероприятия заказчиком, уполномоченным органом представлены отзывы на жалобу, согласно которым считают последнюю необоснованной в полном объеме.</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В процессе рассмотрения представленных документов и информации, размещенной на официальном сайте Единой информационной системы в сфере закупок \\'\\'\\'./а1&lt;11р1&lt;1.до\'.П1 (далее также - ЕИС), Комиссией Хабаровского УФАС России установлено следующее.</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Уполномоченным органом для заказчика - КГКУ «Хабаровскуправавтодор» проведен электронный аукцион на выполнение работ по ремонту объекта «Автомобильная дорога «г. Хабаровск - с. Мичуринское - с. Федоровка - с. Смирновка - с. Галкино» на участке км 19+830 - км 23+600».</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Извещение № 0122200002524003978 о проведении закупки размещено в ЕИС 08.10.2024 (далее также - Извещение).</w:t>
      </w:r>
    </w:p>
    <w:p>
      <w:pPr>
        <w:pStyle w:val="Style9"/>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Начальная (максимальная) цена контракта составляет 126 936 318,44 рублей.</w:t>
      </w:r>
    </w:p>
    <w:p>
      <w:pPr>
        <w:pStyle w:val="Style9"/>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Дата и время окончания срока подачи заявок: 17.10.2024 08:00 (МСК+7).</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17.10.2024.</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21.10.2024.</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Изучив материалы дела № 027/06/105-1544/2024, Комиссия Хабаровского УФАС России приходит к выводу о признании жалобы необоснованной в полном объеме по следующим основаниям.</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 44-ФЗ.</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В статье 8 названного Закона закреплен принцип обеспечения конкуренции при проведении закупок.</w:t>
      </w:r>
    </w:p>
    <w:p>
      <w:pPr>
        <w:pStyle w:val="Style9"/>
        <w:keepNext w:val="0"/>
        <w:keepLines w:val="0"/>
        <w:widowControl w:val="0"/>
        <w:shd w:val="clear" w:color="auto" w:fill="auto"/>
        <w:bidi w:val="0"/>
        <w:spacing w:before="0" w:after="0" w:line="240" w:lineRule="auto"/>
        <w:ind w:left="160" w:right="0" w:firstLine="720"/>
        <w:jc w:val="both"/>
      </w:pPr>
      <w:r>
        <w:rPr>
          <w:color w:val="000000"/>
          <w:spacing w:val="0"/>
          <w:w w:val="100"/>
          <w:position w:val="0"/>
          <w:shd w:val="clear" w:color="auto" w:fill="auto"/>
          <w:lang w:val="ru-RU" w:eastAsia="ru-RU" w:bidi="ru-RU"/>
        </w:rPr>
        <w:t>Согласно ч. 1 ст. 8 Закона №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2 данной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 2 ст. 42 Закона № 44-ФЗ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 1 ч. 1 ст. 33 Закона № 44-ФЗ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5"/>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 44-ФЗ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 44-ФЗ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2 ч. 1 ст. 33 Закона № 44-ФЗ заказчик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2 ст. 33 Закона № 44-ФЗ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 4 ст. 33 Закона № 44-ФЗ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w:t>
      </w:r>
      <w:r>
        <w:rPr>
          <w:color w:val="000000"/>
          <w:spacing w:val="0"/>
          <w:w w:val="100"/>
          <w:position w:val="0"/>
          <w:shd w:val="clear" w:color="auto" w:fill="auto"/>
          <w:lang w:val="ru-RU" w:eastAsia="ru-RU" w:bidi="ru-RU"/>
        </w:rPr>
        <w:t>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Style9"/>
        <w:keepNext w:val="0"/>
        <w:keepLines w:val="0"/>
        <w:widowControl w:val="0"/>
        <w:numPr>
          <w:ilvl w:val="0"/>
          <w:numId w:val="7"/>
        </w:numPr>
        <w:shd w:val="clear" w:color="auto" w:fill="auto"/>
        <w:tabs>
          <w:tab w:pos="141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Объектом спорной закупки является выполнение работ по ремонту объекта «Автомобильная дорога «г. Хабаровск - с. Мичуринское - с. Федоровка - с. Смирновка - с. Галкино» на участке км 19+830 - км 23+600».</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приложению к проекту контракта (раздел «Гарантийные сроки» Извещения), заказчиком установлены в том числе следующие гарантийные сроки на конструктивные элементы автомобильной дороги:</w:t>
      </w:r>
    </w:p>
    <w:p>
      <w:pPr>
        <w:pStyle w:val="Style9"/>
        <w:keepNext w:val="0"/>
        <w:keepLines w:val="0"/>
        <w:widowControl w:val="0"/>
        <w:numPr>
          <w:ilvl w:val="0"/>
          <w:numId w:val="9"/>
        </w:numPr>
        <w:shd w:val="clear" w:color="auto" w:fill="auto"/>
        <w:tabs>
          <w:tab w:pos="96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верхний слой дорожного покрытия из асфальтобетона (км 19+830 - км 20+663) - 7 лет;</w:t>
      </w:r>
    </w:p>
    <w:p>
      <w:pPr>
        <w:pStyle w:val="Style9"/>
        <w:keepNext w:val="0"/>
        <w:keepLines w:val="0"/>
        <w:widowControl w:val="0"/>
        <w:numPr>
          <w:ilvl w:val="0"/>
          <w:numId w:val="9"/>
        </w:numPr>
        <w:shd w:val="clear" w:color="auto" w:fill="auto"/>
        <w:tabs>
          <w:tab w:pos="96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верхний слой дорожного покрытия из асфальтобетона (км 20+663 - км 23+600) - 6 лет;</w:t>
      </w:r>
    </w:p>
    <w:p>
      <w:pPr>
        <w:pStyle w:val="Style9"/>
        <w:keepNext w:val="0"/>
        <w:keepLines w:val="0"/>
        <w:widowControl w:val="0"/>
        <w:numPr>
          <w:ilvl w:val="0"/>
          <w:numId w:val="9"/>
        </w:numPr>
        <w:shd w:val="clear" w:color="auto" w:fill="auto"/>
        <w:tabs>
          <w:tab w:pos="96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верхний слой дорожного покрытия из асфальтобетона посадочной площадки - 5 лет;</w:t>
      </w:r>
    </w:p>
    <w:p>
      <w:pPr>
        <w:pStyle w:val="Style9"/>
        <w:keepNext w:val="0"/>
        <w:keepLines w:val="0"/>
        <w:widowControl w:val="0"/>
        <w:numPr>
          <w:ilvl w:val="0"/>
          <w:numId w:val="9"/>
        </w:numPr>
        <w:shd w:val="clear" w:color="auto" w:fill="auto"/>
        <w:tabs>
          <w:tab w:pos="170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обочины - 2 года.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11 ст. 34 Закона № 44-ФЗ Правительство Российской Федерации вправе установить типовые условия контрактов, подлежащие применению заказчиками при осуществлении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РФ от 08.04.2023 № 572 утверждены типовые условия контрактов на выполнение работ по ремонту автомобильных дорог, искусственных дорожных сооружений (далее также - Типовые условия).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2 Типовых условий гарантийный срок для обочины (ее частей) автомобильной дороги, укрепленных материалом по типу проезжей части, принимается равным гарантийному сроку покрытия верхнего слоя дорожной одежды автомобильной дороги. В иных случаях гарантийный срок для обочины (ее частей) автомобильной дороги не регламентируется.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следует из п. 3.4 ГОСТ 32959-2014 «Дороги автомобильные общего пользования. Габариты приближения» обочина - это элемент дороги, примыкающий непосредственно к проезжей части и предназначенный для обеспечения устойчивости земляного полотна, повышения безопасности дорожного движения, организации движения пешеходов и велосипедистов, а также использования при чрезвычайных ситуациях.</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Комиссией Хабаровского УФАС России, в соответствии с пунктом 31 ЛСР № 03-01-01 сметного расчета по ремонту объекта спорной закупки, устройство обочин выполняется существующим асфальтогранулянтом после окончания основных работ по устройству дорожной одежды, следовательно, гарантийный срок не может быть принят равным гарантийному сроку покрытия верхнего слоя дорожной одежды автомобильной дороги.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в соответствии с п. 83 Типовых условий в контракт могут включаться иные условия, если эти условия не противоречат законодательству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так как гарантийный срок для обочины (ее частей) автомобильной дороги, укрепленной иным материалом, чем проезжая часть, не регламентируется, т.е. не установлены четкие ограничения, гарантийный срок для обочины из асфальтогранулянта принят заказчиком - 2 года в соответствии со ст. 737 ч. 1 Гражданского кодекса Российской Федерации и не противоречит действующему законодательству. Доводы жалобы в этой части являются несостоятельными.</w:t>
      </w:r>
    </w:p>
    <w:p>
      <w:pPr>
        <w:pStyle w:val="Style9"/>
        <w:keepNext w:val="0"/>
        <w:keepLines w:val="0"/>
        <w:widowControl w:val="0"/>
        <w:numPr>
          <w:ilvl w:val="0"/>
          <w:numId w:val="7"/>
        </w:numPr>
        <w:shd w:val="clear" w:color="auto" w:fill="auto"/>
        <w:tabs>
          <w:tab w:pos="141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содержится в разделе III Извещения «Техническая часть. Техническое задание».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приложению к Техническому заданию работы выполняются в полном соответствии с настоящим Техническим заданием, требованиями Технического регламента Таможенного союза «Безопасность автомобильных дорог» ТР ТС № 014/2011, а также требованиями действующих в области дорожного строительства государственных стандартов (ГОСТ), строительных норм и правил (СНиП), сводов правил (СП).</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приложением к Техническому заданию в Перечень правовых актов, нормативной документации, используемых Подрядчиком при выполнении работ включены в том числе: СНиП 12-03-2001 «Безопасность труда в строительстве. Часть 1. Общие требования» и СНиП 12-04-2002 «Безопасность труда в строительстве. Часть 2. Строительное производство».</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Комиссией Хабаровского УФАС России, нормативные акты СНиП 12-03-2001 «Безопасность труда в строительстве. Часть 1. Общие требования» и СНиП 12-04-2002 «Безопасность труда в строительстве. Часть 2. Строительное производство» принятые бывшим Госстроем РФ в 2001-2003 годах до вступления в силу Федерального закона от 27.12.2002 № 184-ФЗ «О техническом регулировании» (далее - Закон № 184-ФЗ) и имеющие в настоящее время статус действующих, подлежат обязательному исполнению наряду с другими аналогичными нормами, принятыми ранее и зарегистрированными Минюстом России в установленном порядке, в соответствии с п. 1 ст. 44 Федерального закона от 30.12.2009 № 384-ФЗ «Технический регламент о безопасности зданий и сооружений» до вступления в силу соответствующие технических регламентов.</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доводы жалобы в этой части являются несостоятельными.</w:t>
      </w:r>
    </w:p>
    <w:p>
      <w:pPr>
        <w:pStyle w:val="Style9"/>
        <w:keepNext w:val="0"/>
        <w:keepLines w:val="0"/>
        <w:widowControl w:val="0"/>
        <w:numPr>
          <w:ilvl w:val="0"/>
          <w:numId w:val="7"/>
        </w:numPr>
        <w:shd w:val="clear" w:color="auto" w:fill="auto"/>
        <w:tabs>
          <w:tab w:pos="141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8 ч. 1 ст. 42 Закона № 44-ФЗ,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 8.4 ч. 1 ст. 3 Закона № 44-ФЗ под отдельным этапом исполнения контракта понимается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Извещению работы по ремонту объекта «Автомобильная дорога «г. Хабаровск - с. Мичуринское - с. Федоровка - с. Смирновка - с. Галкино» на участке </w:t>
      </w:r>
      <w:r>
        <w:rPr>
          <w:color w:val="000000"/>
          <w:spacing w:val="0"/>
          <w:w w:val="100"/>
          <w:position w:val="0"/>
          <w:shd w:val="clear" w:color="auto" w:fill="auto"/>
          <w:lang w:val="ru-RU" w:eastAsia="ru-RU" w:bidi="ru-RU"/>
        </w:rPr>
        <w:t>км 19+830 - км 23+600» выполняются в соответствии с Графиком выполнения работ по ремонту (приложение к Извещению),</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Как следует из пояснений представителей заказчика, уполномоченного органа в ходе рассмотрения жалобы, под этапом выполнения работ по Графику выполнения работ по ремонту понимается часть обязательства поставщика (подрядчика, исполнителя), которые он должен выполнить в определенный период времени, при этом срок исполнения контракта включает в себя все этапы и меры, реализуемые после заключения контракта, в то время как срок выполнения работ указывает исключительно срок реализации своих обязательств исполнителем контракта. При установлении сроков исполнения и сроков действия контракта.</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соответствии с ч. 1 ст. 94 Закона 44-ФЗ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9"/>
        <w:keepNext w:val="0"/>
        <w:keepLines w:val="0"/>
        <w:widowControl w:val="0"/>
        <w:numPr>
          <w:ilvl w:val="0"/>
          <w:numId w:val="11"/>
        </w:numPr>
        <w:shd w:val="clear" w:color="auto" w:fill="auto"/>
        <w:tabs>
          <w:tab w:pos="1118"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приемку выполненной работы (ее результатов), отдельных этапов исполнения контракта, предусмотренных контрактом, включая проведение в соответствии с настоящим Федеральным законом экспертизы выполненной работы, отдельных этапов исполнения контракта;</w:t>
      </w:r>
    </w:p>
    <w:p>
      <w:pPr>
        <w:pStyle w:val="Style9"/>
        <w:keepNext w:val="0"/>
        <w:keepLines w:val="0"/>
        <w:widowControl w:val="0"/>
        <w:numPr>
          <w:ilvl w:val="0"/>
          <w:numId w:val="11"/>
        </w:numPr>
        <w:shd w:val="clear" w:color="auto" w:fill="auto"/>
        <w:tabs>
          <w:tab w:pos="1118" w:val="left"/>
        </w:tabs>
        <w:bidi w:val="0"/>
        <w:spacing w:before="0" w:after="0" w:line="259" w:lineRule="auto"/>
        <w:ind w:left="0" w:right="0" w:firstLine="780"/>
        <w:jc w:val="both"/>
      </w:pPr>
      <w:r>
        <w:rPr>
          <w:color w:val="000000"/>
          <w:spacing w:val="0"/>
          <w:w w:val="100"/>
          <w:position w:val="0"/>
          <w:shd w:val="clear" w:color="auto" w:fill="auto"/>
          <w:lang w:val="ru-RU" w:eastAsia="ru-RU" w:bidi="ru-RU"/>
        </w:rPr>
        <w:t>оплату заказчиком подрядчику выполненной работы (ее результатов), а также отдельных этапов исполнения контракта;</w:t>
      </w:r>
    </w:p>
    <w:p>
      <w:pPr>
        <w:pStyle w:val="Style9"/>
        <w:keepNext w:val="0"/>
        <w:keepLines w:val="0"/>
        <w:widowControl w:val="0"/>
        <w:numPr>
          <w:ilvl w:val="0"/>
          <w:numId w:val="11"/>
        </w:numPr>
        <w:shd w:val="clear" w:color="auto" w:fill="auto"/>
        <w:tabs>
          <w:tab w:pos="1118"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взаимодействие заказчика с подрядчиком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подрядчиком или заказчиком условий контракта.</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Также, в соответствии с п. 4 ч. 13 ст. 94 Закона № 44-ФЗ в срок, установленный контрактом, но не позднее двадцати рабочих дней, следующих за днем поступления документа о приемке в соответствии с пунктом 3 настоящей части, заказчик осуществляет одно из следующих действий:</w:t>
      </w:r>
    </w:p>
    <w:p>
      <w:pPr>
        <w:pStyle w:val="Style9"/>
        <w:keepNext w:val="0"/>
        <w:keepLines w:val="0"/>
        <w:widowControl w:val="0"/>
        <w:numPr>
          <w:ilvl w:val="0"/>
          <w:numId w:val="13"/>
        </w:numPr>
        <w:shd w:val="clear" w:color="auto" w:fill="auto"/>
        <w:tabs>
          <w:tab w:pos="1118"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9"/>
        <w:keepNext w:val="0"/>
        <w:keepLines w:val="0"/>
        <w:widowControl w:val="0"/>
        <w:numPr>
          <w:ilvl w:val="0"/>
          <w:numId w:val="13"/>
        </w:numPr>
        <w:shd w:val="clear" w:color="auto" w:fill="auto"/>
        <w:tabs>
          <w:tab w:pos="1118" w:val="left"/>
        </w:tabs>
        <w:bidi w:val="0"/>
        <w:spacing w:before="0" w:after="0" w:line="240" w:lineRule="auto"/>
        <w:ind w:left="0" w:right="0" w:firstLine="780"/>
        <w:jc w:val="both"/>
      </w:pPr>
      <w:r>
        <w:rPr>
          <w:color w:val="000000"/>
          <w:spacing w:val="0"/>
          <w:w w:val="100"/>
          <w:position w:val="0"/>
          <w:shd w:val="clear" w:color="auto" w:fill="auto"/>
          <w:lang w:val="ru-RU" w:eastAsia="ru-RU" w:bidi="ru-RU"/>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Частью 13.1 ст. 34 Закона № 44-ФЗ указано, что срок оплаты заказчиком выполненной работы (ее результатов), отдельных этапов исполнения контракта составляет не более семи рабочих дней с даты подписания заказчиком документа о приемке.</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 xml:space="preserve">В силу ч. 4 ст. 34 Закона № 44-ФЗ в контракт включается обязательное условие об ответственности заказчика и подрядчика за неисполнение или ненадлежащее исполнение обязательств, предусмотренных контрактом, что </w:t>
      </w:r>
      <w:r>
        <w:rPr>
          <w:color w:val="000000"/>
          <w:spacing w:val="0"/>
          <w:w w:val="100"/>
          <w:position w:val="0"/>
          <w:shd w:val="clear" w:color="auto" w:fill="auto"/>
          <w:lang w:val="ru-RU" w:eastAsia="ru-RU" w:bidi="ru-RU"/>
        </w:rPr>
        <w:t>предусматривает претензионную (досудебную) работу по контракту (по каждому этапу) (составляет 30 дней в соответствии с ч. 5 ст. 4 АППК РФ).</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Как пояснили представители заказчика, уполномоченного органа, срок исполнения первого этапа контракта указан «с даты заключения контракта по 24.07.2025» в связи с тем, что согласно условиям контракта (п. 4.2.1.) и ст. 28 раздела III «Условия об обязанностях заказчика», Постановления Правительства РФ от 08.04.2023 № 572 «Об утверждении типовых условий контрактов на выполнение работ по ремонту автомобильных дорог, искусственных дорожных сооружений» заказчик для выполнения работ по контракту должен в течение 3 рабочих дней со дня заключения контракта передать подрядчику по акту приема-передачи строительную площадку, сметный расчет стоимости работ по ремонту автомобильной дороги на основании дефектной ведомости (далее - сметный расчет по ремонту), иные документы и имущество, необходимые для выполнения работ по контракту, или обеспечить их передачу, а также осуществить иные юридически значимые действия, необходимые для выполнения работ по контракту. Также, указанный в настоящем абзаце срок действия исполнения этапа указан для возможности выплаты аванса подрядчику до начала выполнения работ по Графику выполнения работ по ремонту. Это требуется для возможности приобретения материалов подрядчиком заранее (до начала выполнения работ по Графику выполнения работ по ремонту) в связи со 100 % предоплатой поставщику подрядчиком, а также с увеличенными сроками поставки материалов до объекта ремонта.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Также, разница в этапности в два-три месяца исходит из количества выходных и праздничных дней в том или ином месяце, так как сроки по приемке выполненных работ и их оплате считаются в рабочих днях, к которым добавляется 30 календарных дней на претензионную работу (досудебный порядок урегулирования споров).</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в каждый этап исполнения контракта заказчиком включены сроки на выполнение работ (указаны в Графике выполнения работ по ремонту), приемку выполненной работы (ее результат), оплату за выполненные работы, срок на претензионную (досудебную) работу, что не противоречит действующему законодательству, доводы жалобы в этой части являются несостоятельными.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4. Относительно доводов жалобы о том, что заявителю непонятно, какие дорожные условия установлены для участка дороги «Автомобильная дорога «г. Хабаровск - с. Мичуринское - с. Федоровка - с. Смирновка - с. Галкино» на участке км 19+830 - км 23+600», Комиссия Хабаровского УФАС России сообщает следующее.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В соответствии с ч. 5 ст. 42 Закона № 44-ФЗ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w:t>
      </w:r>
      <w:r>
        <w:rPr>
          <w:color w:val="000000"/>
          <w:spacing w:val="0"/>
          <w:w w:val="100"/>
          <w:position w:val="0"/>
          <w:shd w:val="clear" w:color="auto" w:fill="auto"/>
          <w:lang w:val="ru-RU" w:eastAsia="ru-RU" w:bidi="ru-RU"/>
        </w:rPr>
        <w:t>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этом заявитель предоставленным ему Законом № 44-ФЗ правом о даче разъяснений положений извещения об осуществлении спорной закупки не воспользовался.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Вместе с тем, согласно пояснениям представителей заказчика, уполномоченного органа условия движения по основной дороге для участка дороги «Автомобильная дорога «г. Хабаровск - с. Мичуринское - с. Федоровка - с. Смирновка - с. Галкино» на участке км 19+830 - км 23+600» определены как легкие.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Руководствуясь Классификацией работ по капитальному ремонту, ремонту и содержанию автомобильных дорог (утв. приказом Министерства транспорта РФ от 16 ноября 2012 г. № 402), в ходе выполнения работ производится замена слоя основания дорожной одежды путем фрезерования и устройства выравнивающего слоя из асфальтобетонной смеси А22Нл с восстановлением изношенного слоя покрытия из щебеночно-мастичной асфальтобетонной смеси ЩМА-16.</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связи с наличием на участке дорог пучинистых участков, с целью их ликвидации в соответствии с Классификацией работ по капитальному ремонту, ремонту и содержанию автомобильных дорог (утв. приказом Министерства транспорта РФ от 16 ноября 2012 г. № 402) выполняется ремонт земляного полотна разрушенных вследствие пучинообразования участков автомобильной дороги с последующим восстановлением дорожной одежды в местах ремонта земляного полотна. Для недопущения повторного образования пучин на данных участках принимается усиленная конструкция дорожной одежды с устройством нижнего слоя покрытия из асфальтобетонной смеси А22Нт для тяжелых условий движений, которое имеет улучшенные показатели по сравнению с асфальтобетонной смесью А22Нл в соответствии с ГОСТ Р 58406.2-2020 (таблица 9).</w:t>
      </w:r>
    </w:p>
    <w:p>
      <w:pPr>
        <w:pStyle w:val="Style9"/>
        <w:keepNext w:val="0"/>
        <w:keepLines w:val="0"/>
        <w:widowControl w:val="0"/>
        <w:shd w:val="clear" w:color="auto" w:fill="auto"/>
        <w:bidi w:val="0"/>
        <w:spacing w:before="0" w:after="280" w:line="240" w:lineRule="auto"/>
        <w:ind w:left="0" w:right="0" w:firstLine="760"/>
        <w:jc w:val="both"/>
      </w:pPr>
      <w:r>
        <w:rPr>
          <w:color w:val="000000"/>
          <w:spacing w:val="0"/>
          <w:w w:val="100"/>
          <w:position w:val="0"/>
          <w:shd w:val="clear" w:color="auto" w:fill="auto"/>
          <w:lang w:val="ru-RU" w:eastAsia="ru-RU" w:bidi="ru-RU"/>
        </w:rPr>
        <w:t>Доводы жалобы в этой части также необоснованны.</w:t>
      </w:r>
    </w:p>
    <w:p>
      <w:pPr>
        <w:pStyle w:val="Style9"/>
        <w:keepNext w:val="0"/>
        <w:keepLines w:val="0"/>
        <w:widowControl w:val="0"/>
        <w:shd w:val="clear" w:color="auto" w:fill="auto"/>
        <w:bidi w:val="0"/>
        <w:spacing w:before="0" w:after="280" w:line="240" w:lineRule="auto"/>
        <w:ind w:left="0" w:right="0" w:firstLine="7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21.10.2024 на участие в спорной закупке подано 10 заявок, 9 из которых признаны комиссией по осуществлению закупок соответствующими требованиям Извещения и Закона № 44-ФЗ.</w:t>
      </w:r>
    </w:p>
    <w:p>
      <w:pPr>
        <w:pStyle w:val="Style9"/>
        <w:keepNext w:val="0"/>
        <w:keepLines w:val="0"/>
        <w:widowControl w:val="0"/>
        <w:shd w:val="clear" w:color="auto" w:fill="auto"/>
        <w:bidi w:val="0"/>
        <w:spacing w:before="0" w:after="280" w:line="240" w:lineRule="auto"/>
        <w:ind w:left="0" w:right="0" w:firstLine="760"/>
        <w:jc w:val="both"/>
      </w:pPr>
      <w:r>
        <w:rPr>
          <w:color w:val="000000"/>
          <w:spacing w:val="0"/>
          <w:w w:val="100"/>
          <w:position w:val="0"/>
          <w:shd w:val="clear" w:color="auto" w:fill="auto"/>
          <w:lang w:val="ru-RU" w:eastAsia="ru-RU" w:bidi="ru-RU"/>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 в полном</w:t>
        <w:br w:type="page"/>
      </w:r>
      <w:r>
        <w:rPr>
          <w:color w:val="000000"/>
          <w:spacing w:val="0"/>
          <w:w w:val="100"/>
          <w:position w:val="0"/>
          <w:shd w:val="clear" w:color="auto" w:fill="auto"/>
          <w:lang w:val="ru-RU" w:eastAsia="ru-RU" w:bidi="ru-RU"/>
        </w:rPr>
        <w:t>объеме.</w:t>
      </w:r>
    </w:p>
    <w:p>
      <w:pPr>
        <w:pStyle w:val="Style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Признать жалобу ООО «СтройДорСервис» на действия заказчика - краевого государственного казенного учреждения «Хабаровское управление автомобильных дорог», уполномоченного органа - комитета государственного заказа Правительства Хабаровского края при осуществлении закупки путем проведения электронного аукциона на выполнение работ по ремонту объекта «Автомобильная дорога «г. Хабаровск - с. Мичуринское - с. Федоровка - с. Смирновка - с. Галкино» на участке км 19+830 - км 23+600» (извещение № 0122200002524003978) - </w:t>
      </w:r>
      <w:r>
        <w:rPr>
          <w:b/>
          <w:bCs/>
          <w:color w:val="000000"/>
          <w:spacing w:val="0"/>
          <w:w w:val="100"/>
          <w:position w:val="0"/>
          <w:shd w:val="clear" w:color="auto" w:fill="auto"/>
          <w:lang w:val="ru-RU" w:eastAsia="ru-RU" w:bidi="ru-RU"/>
        </w:rPr>
        <w:t>необоснованной.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83" w:right="478" w:bottom="1196" w:left="1016" w:header="0" w:footer="3" w:gutter="0"/>
          <w:cols w:space="720"/>
          <w:noEndnote/>
          <w:rtlGutter w:val="0"/>
          <w:docGrid w:linePitch="360"/>
        </w:sectPr>
      </w:pPr>
      <w:r>
        <mc:AlternateContent>
          <mc:Choice Requires="wps">
            <w:drawing>
              <wp:anchor distT="127000" distB="298450" distL="0" distR="0" simplePos="0" relativeHeight="125829378" behindDoc="0" locked="0" layoutInCell="1" allowOverlap="1">
                <wp:simplePos x="0" y="0"/>
                <wp:positionH relativeFrom="page">
                  <wp:posOffset>735965</wp:posOffset>
                </wp:positionH>
                <wp:positionV relativeFrom="paragraph">
                  <wp:posOffset>127000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10.pt;width:144.pt;height:19.699999999999999pt;z-index:-125829375;mso-wrap-distance-left:0;mso-wrap-distance-top:10.pt;mso-wrap-distance-right:0;mso-wrap-distance-bottom:2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30175" distB="0" distL="0" distR="1789430" simplePos="0" relativeHeight="125829380" behindDoc="0" locked="0" layoutInCell="1" allowOverlap="1">
            <wp:simplePos x="0" y="0"/>
            <wp:positionH relativeFrom="page">
              <wp:posOffset>2823845</wp:posOffset>
            </wp:positionH>
            <wp:positionV relativeFrom="paragraph">
              <wp:posOffset>130175</wp:posOffset>
            </wp:positionV>
            <wp:extent cx="365760" cy="5486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65760" cy="5486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3299460</wp:posOffset>
                </wp:positionH>
                <wp:positionV relativeFrom="paragraph">
                  <wp:posOffset>541655</wp:posOffset>
                </wp:positionV>
                <wp:extent cx="1276985" cy="100330"/>
                <wp:wrapNone/>
                <wp:docPr id="11" name="Shape 1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59.80000000000001pt;margin-top:42.649999999999999pt;width:100.5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3253740</wp:posOffset>
                </wp:positionH>
                <wp:positionV relativeFrom="paragraph">
                  <wp:posOffset>227965</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56.19999999999999pt;margin-top:17.949999999999999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98450" distL="0" distR="0" simplePos="0" relativeHeight="125829381" behindDoc="0" locked="0" layoutInCell="1" allowOverlap="1">
                <wp:simplePos x="0" y="0"/>
                <wp:positionH relativeFrom="page">
                  <wp:posOffset>6061075</wp:posOffset>
                </wp:positionH>
                <wp:positionV relativeFrom="paragraph">
                  <wp:posOffset>127000</wp:posOffset>
                </wp:positionV>
                <wp:extent cx="1124585" cy="250190"/>
                <wp:wrapTopAndBottom/>
                <wp:docPr id="15" name="Shape 15"/>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41" type="#_x0000_t202" style="position:absolute;margin-left:477.25pt;margin-top:10.pt;width:88.549999999999997pt;height:19.699999999999999pt;z-index:-125829372;mso-wrap-distance-left:0;mso-wrap-distance-top:10.pt;mso-wrap-distance-right:0;mso-wrap-distance-bottom:23.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30"/>
        <w:keepNext w:val="0"/>
        <w:keepLines w:val="0"/>
        <w:widowControl w:val="0"/>
        <w:shd w:val="clear" w:color="auto" w:fill="auto"/>
        <w:bidi w:val="0"/>
        <w:spacing w:before="0" w:after="0" w:line="276" w:lineRule="auto"/>
        <w:ind w:right="0" w:firstLine="20"/>
        <w:jc w:val="left"/>
      </w:pPr>
      <w:r>
        <w:rPr>
          <w:color w:val="343434"/>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color w:val="34343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43434"/>
          <w:spacing w:val="0"/>
          <w:w w:val="100"/>
          <w:position w:val="0"/>
          <w:shd w:val="clear" w:color="auto" w:fill="auto"/>
          <w:lang w:val="ru-RU" w:eastAsia="ru-RU" w:bidi="ru-RU"/>
        </w:rPr>
        <w:t>53Э9ЭА0421ЕЕ18С746В01 Е823Е3291СЗ</w:t>
      </w:r>
    </w:p>
    <w:p>
      <w:pPr>
        <w:pStyle w:val="Style30"/>
        <w:keepNext w:val="0"/>
        <w:keepLines w:val="0"/>
        <w:widowControl w:val="0"/>
        <w:shd w:val="clear" w:color="auto" w:fill="auto"/>
        <w:bidi w:val="0"/>
        <w:spacing w:before="0" w:after="340" w:line="276" w:lineRule="auto"/>
        <w:ind w:right="0" w:firstLine="20"/>
        <w:jc w:val="left"/>
      </w:pPr>
      <w:r>
        <w:rPr>
          <w:spacing w:val="0"/>
          <w:w w:val="100"/>
          <w:position w:val="0"/>
          <w:shd w:val="clear" w:color="auto" w:fill="auto"/>
          <w:lang w:val="ru-RU" w:eastAsia="ru-RU" w:bidi="ru-RU"/>
        </w:rPr>
        <w:t xml:space="preserve">Действителен </w:t>
      </w:r>
      <w:r>
        <w:rPr>
          <w:color w:val="343434"/>
          <w:spacing w:val="0"/>
          <w:w w:val="100"/>
          <w:position w:val="0"/>
          <w:shd w:val="clear" w:color="auto" w:fill="auto"/>
          <w:lang w:val="ru-RU" w:eastAsia="ru-RU" w:bidi="ru-RU"/>
        </w:rPr>
        <w:t xml:space="preserve">с 05.09.2024 </w:t>
      </w:r>
      <w:r>
        <w:rPr>
          <w:spacing w:val="0"/>
          <w:w w:val="100"/>
          <w:position w:val="0"/>
          <w:shd w:val="clear" w:color="auto" w:fill="auto"/>
          <w:lang w:val="ru-RU" w:eastAsia="ru-RU" w:bidi="ru-RU"/>
        </w:rPr>
        <w:t>по 29.11.2025</w:t>
      </w:r>
    </w:p>
    <w:p>
      <w:pPr>
        <w:pStyle w:val="Style9"/>
        <w:keepNext w:val="0"/>
        <w:keepLines w:val="0"/>
        <w:widowControl w:val="0"/>
        <w:shd w:val="clear" w:color="auto" w:fill="auto"/>
        <w:bidi w:val="0"/>
        <w:spacing w:before="0" w:after="60" w:line="240" w:lineRule="auto"/>
        <w:ind w:left="0" w:right="0" w:firstLine="0"/>
        <w:jc w:val="left"/>
      </w:pPr>
      <w:r>
        <w:drawing>
          <wp:anchor distT="0" distB="0" distL="114300" distR="1903730" simplePos="0" relativeHeight="125829383" behindDoc="0" locked="0" layoutInCell="1" allowOverlap="1">
            <wp:simplePos x="0" y="0"/>
            <wp:positionH relativeFrom="page">
              <wp:posOffset>2805430</wp:posOffset>
            </wp:positionH>
            <wp:positionV relativeFrom="paragraph">
              <wp:posOffset>241300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3265805</wp:posOffset>
                </wp:positionH>
                <wp:positionV relativeFrom="paragraph">
                  <wp:posOffset>643890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57.14999999999998pt;margin-top:50.700000000000003pt;width:101.05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3220085</wp:posOffset>
                </wp:positionH>
                <wp:positionV relativeFrom="paragraph">
                  <wp:posOffset>332740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53.55000000000001pt;margin-top:26.199999999999999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480" w:line="240" w:lineRule="auto"/>
        <w:ind w:left="0" w:right="0" w:firstLine="0"/>
        <w:jc w:val="right"/>
      </w:pPr>
      <w:r>
        <w:rPr>
          <w:color w:val="000000"/>
          <w:spacing w:val="0"/>
          <w:w w:val="100"/>
          <w:position w:val="0"/>
          <w:shd w:val="clear" w:color="auto" w:fill="auto"/>
          <w:lang w:val="ru-RU" w:eastAsia="ru-RU" w:bidi="ru-RU"/>
        </w:rPr>
        <w:t>Ж.В. Кушнер</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A7B7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Кушнер Жанна Владимировна</w:t>
      </w:r>
    </w:p>
    <w:p>
      <w:pPr>
        <w:pStyle w:val="Style30"/>
        <w:keepNext w:val="0"/>
        <w:keepLines w:val="0"/>
        <w:widowControl w:val="0"/>
        <w:shd w:val="clear" w:color="auto" w:fill="auto"/>
        <w:bidi w:val="0"/>
        <w:spacing w:before="0" w:after="0" w:line="240" w:lineRule="auto"/>
        <w:ind w:right="0" w:firstLine="0"/>
        <w:jc w:val="left"/>
      </w:pPr>
      <w:r>
        <w:rPr>
          <w:color w:val="34343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43434"/>
          <w:spacing w:val="0"/>
          <w:w w:val="100"/>
          <w:position w:val="0"/>
          <w:shd w:val="clear" w:color="auto" w:fill="auto"/>
          <w:lang w:val="ru-RU" w:eastAsia="ru-RU" w:bidi="ru-RU"/>
        </w:rPr>
        <w:t>13ЭЗА52900С10636543ЕЕВЕ625АВ587А</w:t>
      </w:r>
    </w:p>
    <w:p>
      <w:pPr>
        <w:pStyle w:val="Style30"/>
        <w:keepNext w:val="0"/>
        <w:keepLines w:val="0"/>
        <w:widowControl w:val="0"/>
        <w:shd w:val="clear" w:color="auto" w:fill="auto"/>
        <w:bidi w:val="0"/>
        <w:spacing w:before="0" w:after="4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01.07.2024 </w:t>
      </w:r>
      <w:r>
        <w:rPr>
          <w:color w:val="7A7B7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24.09.2025</w:t>
      </w:r>
    </w:p>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 Пилипенко</w:t>
      </w:r>
    </w:p>
    <w:p>
      <w:pPr>
        <w:widowControl w:val="0"/>
        <w:spacing w:line="1" w:lineRule="exact"/>
      </w:pPr>
      <w:r>
        <w:drawing>
          <wp:anchor distT="0" distB="0" distL="0" distR="1789430" simplePos="0" relativeHeight="125829384" behindDoc="0" locked="0" layoutInCell="1" allowOverlap="1">
            <wp:simplePos x="0" y="0"/>
            <wp:positionH relativeFrom="page">
              <wp:posOffset>2622550</wp:posOffset>
            </wp:positionH>
            <wp:positionV relativeFrom="paragraph">
              <wp:posOffset>0</wp:posOffset>
            </wp:positionV>
            <wp:extent cx="389890" cy="57277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3119120</wp:posOffset>
                </wp:positionH>
                <wp:positionV relativeFrom="paragraph">
                  <wp:posOffset>438785</wp:posOffset>
                </wp:positionV>
                <wp:extent cx="1276985" cy="100330"/>
                <wp:wrapNone/>
                <wp:docPr id="25" name="Shape 25"/>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59999999999999pt;margin-top:34.550000000000004pt;width:100.55pt;height:7.90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3073400</wp:posOffset>
                </wp:positionH>
                <wp:positionV relativeFrom="paragraph">
                  <wp:posOffset>128270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pt;margin-top:10.1pt;width:135.84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0"/>
        <w:keepNext w:val="0"/>
        <w:keepLines w:val="0"/>
        <w:widowControl w:val="0"/>
        <w:shd w:val="clear" w:color="auto" w:fill="auto"/>
        <w:bidi w:val="0"/>
        <w:spacing w:before="0" w:after="0" w:line="240" w:lineRule="auto"/>
        <w:ind w:left="3100" w:right="0" w:firstLine="0"/>
        <w:jc w:val="left"/>
        <w:rPr>
          <w:sz w:val="11"/>
          <w:szCs w:val="11"/>
        </w:rPr>
      </w:pPr>
      <w:r>
        <w:rPr>
          <w:color w:val="7A7B7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30"/>
        <w:keepNext w:val="0"/>
        <w:keepLines w:val="0"/>
        <w:widowControl w:val="0"/>
        <w:shd w:val="clear" w:color="auto" w:fill="auto"/>
        <w:bidi w:val="0"/>
        <w:spacing w:before="0" w:after="0" w:line="240" w:lineRule="auto"/>
        <w:ind w:left="3100" w:right="0" w:firstLine="0"/>
        <w:jc w:val="left"/>
      </w:pPr>
      <w:r>
        <w:rPr>
          <w:color w:val="34343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4АЗЕ655ЕСА49Е804048Е50ВЕ33298660</w:t>
      </w:r>
    </w:p>
    <w:p>
      <w:pPr>
        <w:pStyle w:val="Style30"/>
        <w:keepNext w:val="0"/>
        <w:keepLines w:val="0"/>
        <w:widowControl w:val="0"/>
        <w:shd w:val="clear" w:color="auto" w:fill="auto"/>
        <w:bidi w:val="0"/>
        <w:spacing w:before="0" w:after="1560" w:line="240" w:lineRule="auto"/>
        <w:ind w:left="310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7A7B7C"/>
          <w:spacing w:val="0"/>
          <w:w w:val="100"/>
          <w:position w:val="0"/>
          <w:shd w:val="clear" w:color="auto" w:fill="auto"/>
          <w:lang w:val="ru-RU" w:eastAsia="ru-RU" w:bidi="ru-RU"/>
        </w:rPr>
        <w:t>20.1</w:t>
      </w:r>
      <w:r>
        <w:rPr>
          <w:spacing w:val="0"/>
          <w:w w:val="100"/>
          <w:position w:val="0"/>
          <w:shd w:val="clear" w:color="auto" w:fill="auto"/>
          <w:lang w:val="ru-RU" w:eastAsia="ru-RU" w:bidi="ru-RU"/>
        </w:rPr>
        <w:t xml:space="preserve">1.2023 </w:t>
      </w:r>
      <w:r>
        <w:rPr>
          <w:color w:val="343434"/>
          <w:spacing w:val="0"/>
          <w:w w:val="100"/>
          <w:position w:val="0"/>
          <w:shd w:val="clear" w:color="auto" w:fill="auto"/>
          <w:lang w:val="ru-RU" w:eastAsia="ru-RU" w:bidi="ru-RU"/>
        </w:rPr>
        <w:t xml:space="preserve">по </w:t>
      </w:r>
      <w:r>
        <w:rPr>
          <w:color w:val="7A7B7C"/>
          <w:spacing w:val="0"/>
          <w:w w:val="100"/>
          <w:position w:val="0"/>
          <w:shd w:val="clear" w:color="auto" w:fill="auto"/>
          <w:lang w:val="ru-RU" w:eastAsia="ru-RU" w:bidi="ru-RU"/>
        </w:rPr>
        <w:t>12.02.2025</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Исп.Кушнер Ж.В.</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тел.8(4212) 32 60 54</w:t>
      </w:r>
    </w:p>
    <w:sectPr>
      <w:footnotePr>
        <w:pos w:val="pageBottom"/>
        <w:numFmt w:val="decimal"/>
        <w:numRestart w:val="continuous"/>
      </w:footnotePr>
      <w:type w:val="continuous"/>
      <w:pgSz w:w="11900" w:h="16840"/>
      <w:pgMar w:top="1105" w:right="532" w:bottom="127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716280</wp:posOffset>
              </wp:positionH>
              <wp:positionV relativeFrom="page">
                <wp:posOffset>10010140</wp:posOffset>
              </wp:positionV>
              <wp:extent cx="6470650" cy="106680"/>
              <wp:wrapNone/>
              <wp:docPr id="3" name="Shape 3"/>
              <a:graphic xmlns:a="http://schemas.openxmlformats.org/drawingml/2006/main">
                <a:graphicData uri="http://schemas.microsoft.com/office/word/2010/wordprocessingShape">
                  <wps:wsp>
                    <wps:cNvSpPr txBox="1"/>
                    <wps:spPr>
                      <a:xfrm>
                        <a:ext cx="6470650" cy="106680"/>
                      </a:xfrm>
                      <a:prstGeom prst="rect"/>
                      <a:noFill/>
                    </wps:spPr>
                    <wps:txbx>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2024-12585</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399999999999999pt;margin-top:788.20000000000005pt;width:509.5pt;height:8.4000000000000004pt;z-index:-188744062;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2024-12585</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9857740</wp:posOffset>
              </wp:positionV>
              <wp:extent cx="719455" cy="100330"/>
              <wp:wrapNone/>
              <wp:docPr id="5" name="Shape 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2024-12585</w:t>
                          </w:r>
                        </w:p>
                      </w:txbxContent>
                    </wps:txbx>
                    <wps:bodyPr wrap="none" lIns="0" tIns="0" rIns="0" bIns="0">
                      <a:spAutoFit/>
                    </wps:bodyPr>
                  </wps:wsp>
                </a:graphicData>
              </a:graphic>
            </wp:anchor>
          </w:drawing>
        </mc:Choice>
        <mc:Fallback>
          <w:pict>
            <v:shape id="_x0000_s1031" type="#_x0000_t202" style="position:absolute;margin-left:57.pt;margin-top:776.20000000000005pt;width:56.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2024-12585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Основной текст (4)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12121"/>
      <w:sz w:val="11"/>
      <w:szCs w:val="11"/>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8"/>
      <w:szCs w:val="28"/>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5">
    <w:name w:val="Основной текст (5)_"/>
    <w:basedOn w:val="DefaultParagraphFont"/>
    <w:link w:val="Style24"/>
    <w:rPr>
      <w:rFonts w:ascii="Arial" w:eastAsia="Arial" w:hAnsi="Arial" w:cs="Arial"/>
      <w:b w:val="0"/>
      <w:bCs w:val="0"/>
      <w:i w:val="0"/>
      <w:iCs w:val="0"/>
      <w:smallCaps w:val="0"/>
      <w:strike w:val="0"/>
      <w:sz w:val="54"/>
      <w:szCs w:val="54"/>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656565"/>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Основной текст (4)"/>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0">
    <w:name w:val="Заголовок №1"/>
    <w:basedOn w:val="Normal"/>
    <w:link w:val="CharStyle21"/>
    <w:pPr>
      <w:widowControl w:val="0"/>
      <w:shd w:val="clear" w:color="auto" w:fill="auto"/>
      <w:spacing w:after="1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4">
    <w:name w:val="Основной текст (5)"/>
    <w:basedOn w:val="Normal"/>
    <w:link w:val="CharStyle25"/>
    <w:pPr>
      <w:widowControl w:val="0"/>
      <w:shd w:val="clear" w:color="auto" w:fill="auto"/>
      <w:spacing w:after="320"/>
    </w:pPr>
    <w:rPr>
      <w:rFonts w:ascii="Arial" w:eastAsia="Arial" w:hAnsi="Arial" w:cs="Arial"/>
      <w:b w:val="0"/>
      <w:bCs w:val="0"/>
      <w:i w:val="0"/>
      <w:iCs w:val="0"/>
      <w:smallCaps w:val="0"/>
      <w:strike w:val="0"/>
      <w:sz w:val="54"/>
      <w:szCs w:val="54"/>
      <w:u w:val="none"/>
    </w:rPr>
  </w:style>
  <w:style w:type="paragraph" w:customStyle="1" w:styleId="Style30">
    <w:name w:val="Основной текст (2)"/>
    <w:basedOn w:val="Normal"/>
    <w:link w:val="CharStyle31"/>
    <w:pPr>
      <w:widowControl w:val="0"/>
      <w:shd w:val="clear" w:color="auto" w:fill="auto"/>
      <w:ind w:left="3340"/>
    </w:pPr>
    <w:rPr>
      <w:rFonts w:ascii="Arial" w:eastAsia="Arial" w:hAnsi="Arial" w:cs="Arial"/>
      <w:b w:val="0"/>
      <w:bCs w:val="0"/>
      <w:i w:val="0"/>
      <w:iCs w:val="0"/>
      <w:smallCaps w:val="0"/>
      <w:strike w:val="0"/>
      <w:color w:val="65656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