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9"/>
        <w:keepNext w:val="0"/>
        <w:keepLines w:val="0"/>
        <w:widowControl w:val="0"/>
        <w:shd w:val="clear" w:color="auto" w:fill="auto"/>
        <w:tabs>
          <w:tab w:pos="1843"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4,10,2024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ЛИ/11874/</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Краевое государственное казённое учреждение «Хабаровское управление автомобильных дорог»</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ул. Некрасова, д. 51, г. Хабаровск, 680021</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^VуакоV1еV@ккV. до\\ги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Правительства Хабаровского края</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ул. Фрунзе, д. 71, г. Хабаровский край, 680000</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д/@к11\\до\'.П1</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«СтройДорСервис»</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Проспект 60-летия Октября, д. 178Б, г.</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Хабаровск, 680003</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18" w:bottom="1197" w:left="1130" w:header="0" w:footer="3" w:gutter="0"/>
          <w:pgNumType w:start="1"/>
          <w:cols w:num="2" w:space="720" w:equalWidth="0">
            <w:col w:w="4368" w:space="902"/>
            <w:col w:w="4882"/>
          </w:cols>
          <w:noEndnote/>
          <w:titlePg/>
          <w:rtlGutter w:val="0"/>
          <w:docGrid w:linePitch="360"/>
        </w:sectPr>
      </w:pPr>
      <w:r>
        <w:rPr>
          <w:color w:val="000000"/>
          <w:spacing w:val="0"/>
          <w:w w:val="100"/>
          <w:position w:val="0"/>
          <w:shd w:val="clear" w:color="auto" w:fill="auto"/>
          <w:lang w:val="ru-RU" w:eastAsia="ru-RU" w:bidi="ru-RU"/>
        </w:rPr>
        <w:t>тГо@8^827.ги</w:t>
      </w:r>
    </w:p>
    <w:p>
      <w:pPr>
        <w:widowControl w:val="0"/>
        <w:spacing w:before="94" w:after="9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75" w:right="0" w:bottom="1189" w:left="0" w:header="0" w:footer="3" w:gutter="0"/>
          <w:cols w:space="720"/>
          <w:noEndnote/>
          <w:rtlGutter w:val="0"/>
          <w:docGrid w:linePitch="360"/>
        </w:sectPr>
      </w:pPr>
    </w:p>
    <w:p>
      <w:pPr>
        <w:pStyle w:val="Style32"/>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7-1/243</w:t>
      </w:r>
      <w:bookmarkEnd w:id="0"/>
    </w:p>
    <w:p>
      <w:pPr>
        <w:pStyle w:val="Style14"/>
        <w:keepNext w:val="0"/>
        <w:keepLines w:val="0"/>
        <w:widowControl w:val="0"/>
        <w:shd w:val="clear" w:color="auto" w:fill="auto"/>
        <w:tabs>
          <w:tab w:pos="8611" w:val="left"/>
        </w:tabs>
        <w:bidi w:val="0"/>
        <w:spacing w:before="0" w:after="280" w:line="240" w:lineRule="auto"/>
        <w:ind w:left="0" w:right="0" w:firstLine="0"/>
        <w:jc w:val="left"/>
      </w:pPr>
      <w:r>
        <w:rPr>
          <w:color w:val="000000"/>
          <w:spacing w:val="0"/>
          <w:w w:val="100"/>
          <w:position w:val="0"/>
          <w:shd w:val="clear" w:color="auto" w:fill="auto"/>
          <w:lang w:val="ru-RU" w:eastAsia="ru-RU" w:bidi="ru-RU"/>
        </w:rPr>
        <w:t>21.10.2024</w:t>
        <w:tab/>
        <w:t>г. Хабаровск</w:t>
      </w:r>
    </w:p>
    <w:p>
      <w:pPr>
        <w:pStyle w:val="Style14"/>
        <w:keepNext w:val="0"/>
        <w:keepLines w:val="0"/>
        <w:widowControl w:val="0"/>
        <w:shd w:val="clear" w:color="auto" w:fill="auto"/>
        <w:bidi w:val="0"/>
        <w:spacing w:before="0" w:after="340" w:line="240" w:lineRule="auto"/>
        <w:ind w:left="0" w:right="0" w:firstLine="6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отдела контроля закупок в составе:</w:t>
      </w:r>
    </w:p>
    <w:tbl>
      <w:tblPr>
        <w:tblOverlap w:val="never"/>
        <w:jc w:val="center"/>
        <w:tblLayout w:type="fixed"/>
      </w:tblPr>
      <w:tblGrid>
        <w:gridCol w:w="5054"/>
        <w:gridCol w:w="5194"/>
      </w:tblGrid>
      <w:tr>
        <w:trPr>
          <w:trHeight w:val="749" w:hRule="exact"/>
        </w:trPr>
        <w:tc>
          <w:tcPr>
            <w:tcBorders/>
            <w:shd w:val="clear" w:color="auto" w:fill="auto"/>
            <w:vAlign w:val="top"/>
          </w:tcPr>
          <w:p>
            <w:pPr>
              <w:pStyle w:val="Style9"/>
              <w:keepNext w:val="0"/>
              <w:keepLines w:val="0"/>
              <w:widowControl w:val="0"/>
              <w:shd w:val="clear" w:color="auto" w:fill="auto"/>
              <w:tabs>
                <w:tab w:pos="2683"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w:t>
              <w:tab/>
              <w:t>Л.А. Ильченко</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u-RU" w:eastAsia="ru-RU" w:bidi="ru-RU"/>
              </w:rPr>
              <w:t>- заместитель руководителя управления;</w:t>
            </w:r>
          </w:p>
        </w:tc>
      </w:tr>
      <w:tr>
        <w:trPr>
          <w:trHeight w:val="960" w:hRule="exact"/>
        </w:trPr>
        <w:tc>
          <w:tcPr>
            <w:tcBorders/>
            <w:shd w:val="clear" w:color="auto" w:fill="auto"/>
            <w:vAlign w:val="top"/>
          </w:tcPr>
          <w:p>
            <w:pPr>
              <w:pStyle w:val="Style9"/>
              <w:keepNext w:val="0"/>
              <w:keepLines w:val="0"/>
              <w:widowControl w:val="0"/>
              <w:shd w:val="clear" w:color="auto" w:fill="auto"/>
              <w:tabs>
                <w:tab w:pos="2688" w:val="left"/>
              </w:tabs>
              <w:bidi w:val="0"/>
              <w:spacing w:before="100" w:after="0" w:line="240" w:lineRule="auto"/>
              <w:ind w:left="0" w:right="0" w:firstLine="0"/>
              <w:jc w:val="left"/>
            </w:pPr>
            <w:r>
              <w:rPr>
                <w:color w:val="000000"/>
                <w:spacing w:val="0"/>
                <w:w w:val="100"/>
                <w:position w:val="0"/>
                <w:shd w:val="clear" w:color="auto" w:fill="auto"/>
                <w:lang w:val="ru-RU" w:eastAsia="ru-RU" w:bidi="ru-RU"/>
              </w:rPr>
              <w:t>Члены Комиссии:</w:t>
              <w:tab/>
              <w:t>Ж.В. Кушнер</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r>
        <w:trPr>
          <w:trHeight w:val="965" w:hRule="exact"/>
        </w:trPr>
        <w:tc>
          <w:tcPr>
            <w:tcBorders/>
            <w:shd w:val="clear" w:color="auto" w:fill="auto"/>
            <w:vAlign w:val="top"/>
          </w:tcPr>
          <w:p>
            <w:pPr>
              <w:pStyle w:val="Style9"/>
              <w:keepNext w:val="0"/>
              <w:keepLines w:val="0"/>
              <w:widowControl w:val="0"/>
              <w:shd w:val="clear" w:color="auto" w:fill="auto"/>
              <w:bidi w:val="0"/>
              <w:spacing w:before="80" w:after="0" w:line="240" w:lineRule="auto"/>
              <w:ind w:left="2720" w:right="0" w:firstLine="0"/>
              <w:jc w:val="left"/>
            </w:pPr>
            <w:r>
              <w:rPr>
                <w:color w:val="000000"/>
                <w:spacing w:val="0"/>
                <w:w w:val="100"/>
                <w:position w:val="0"/>
                <w:shd w:val="clear" w:color="auto" w:fill="auto"/>
                <w:lang w:val="ru-RU" w:eastAsia="ru-RU" w:bidi="ru-RU"/>
              </w:rPr>
              <w:t>М.А. Пилипенко</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bl>
    <w:p>
      <w:pPr>
        <w:widowControl w:val="0"/>
        <w:spacing w:after="39" w:line="1" w:lineRule="exact"/>
      </w:pP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присутствии представителей от:</w:t>
      </w:r>
    </w:p>
    <w:p>
      <w:pPr>
        <w:pStyle w:val="Style14"/>
        <w:keepNext w:val="0"/>
        <w:keepLines w:val="0"/>
        <w:widowControl w:val="0"/>
        <w:numPr>
          <w:ilvl w:val="0"/>
          <w:numId w:val="1"/>
        </w:numPr>
        <w:shd w:val="clear" w:color="auto" w:fill="auto"/>
        <w:tabs>
          <w:tab w:pos="874" w:val="left"/>
        </w:tabs>
        <w:bidi w:val="0"/>
        <w:spacing w:before="0" w:after="280" w:line="240" w:lineRule="auto"/>
        <w:ind w:left="0" w:right="0" w:firstLine="600"/>
        <w:jc w:val="both"/>
      </w:pPr>
      <w:r>
        <w:rPr>
          <w:color w:val="000000"/>
          <w:spacing w:val="0"/>
          <w:w w:val="100"/>
          <w:position w:val="0"/>
          <w:shd w:val="clear" w:color="auto" w:fill="auto"/>
          <w:lang w:val="ru-RU" w:eastAsia="ru-RU" w:bidi="ru-RU"/>
        </w:rPr>
        <w:t>заказчика - Краевое государственное казённое учреждение «Хабаровское управление автомобильных дорог»: Филипенко Д.О. по доверенности от 18.10.2024</w:t>
      </w:r>
    </w:p>
    <w:p>
      <w:pPr>
        <w:pStyle w:val="Style9"/>
        <w:keepNext w:val="0"/>
        <w:keepLines w:val="0"/>
        <w:widowControl w:val="0"/>
        <w:shd w:val="clear" w:color="auto" w:fill="auto"/>
        <w:bidi w:val="0"/>
        <w:spacing w:before="0" w:after="280" w:line="240" w:lineRule="auto"/>
        <w:ind w:left="0" w:right="0" w:firstLine="0"/>
        <w:jc w:val="left"/>
        <w:rPr>
          <w:sz w:val="48"/>
          <w:szCs w:val="48"/>
        </w:rPr>
      </w:pPr>
      <w:r>
        <w:rPr>
          <w:rFonts w:ascii="Arial" w:eastAsia="Arial" w:hAnsi="Arial" w:cs="Arial"/>
          <w:color w:val="000000"/>
          <w:spacing w:val="0"/>
          <w:w w:val="100"/>
          <w:position w:val="0"/>
          <w:sz w:val="48"/>
          <w:szCs w:val="48"/>
          <w:shd w:val="clear" w:color="auto" w:fill="auto"/>
          <w:lang w:val="ru-RU" w:eastAsia="ru-RU" w:bidi="ru-RU"/>
        </w:rPr>
        <w:t>111111111111111111111111</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№111, Яковлев И.В. по доверенности от 18.10.2024 №112, Николаев М.В. по доверенности от 18.10.2024 №109;</w:t>
      </w:r>
    </w:p>
    <w:p>
      <w:pPr>
        <w:pStyle w:val="Style14"/>
        <w:keepNext w:val="0"/>
        <w:keepLines w:val="0"/>
        <w:widowControl w:val="0"/>
        <w:numPr>
          <w:ilvl w:val="0"/>
          <w:numId w:val="1"/>
        </w:numPr>
        <w:shd w:val="clear" w:color="auto" w:fill="auto"/>
        <w:tabs>
          <w:tab w:pos="87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уполномоченного органа - Комитет государственного заказа Правительства Хабаровского края: Батурина П.А. по доверенности от 18.09.2024 №5,</w:t>
      </w:r>
    </w:p>
    <w:p>
      <w:pPr>
        <w:pStyle w:val="Style14"/>
        <w:keepNext w:val="0"/>
        <w:keepLines w:val="0"/>
        <w:widowControl w:val="0"/>
        <w:numPr>
          <w:ilvl w:val="0"/>
          <w:numId w:val="1"/>
        </w:numPr>
        <w:shd w:val="clear" w:color="auto" w:fill="auto"/>
        <w:tabs>
          <w:tab w:pos="87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ООО «СтройДорСервис»: о дате, времени и месте рассмотрения дела уведомлены надлежащим образом, явку представителя не обеспечили,</w:t>
      </w:r>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рассмотрев жалобу ООО «СтройДорСервис» и материалы дела № 027/06/105- 1545/2024, Комиссия Хабаровского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поступила жалоба ООО «СтройДорСервис» на действия заказчика - Краевое государственное казённое учреждение «Хабаровское управление автомобильных дорог», уполномоченного органа - Комитет государственного заказа Правительства Хабаровского края при осуществлении закупки путем проведения аукциона в электронной форме на выполнение работ по ремонту объекта «Автомобильная дорога «Подъезд к с. Петропавловка» на участке км 0+000 - км 7+000» (извещение № 0122200002524003973).</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Заявитель указывает в своей жалобе на нарушение заказчиком требований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описании объекта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статьи 99 Закона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 0122200002524003187 о проведении аукциона в электронной форме размещено на официальном сайте единой информационной системы в сфере закупок 08.10.2024.</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Объект закупки: выполнение работ по ремонту объекта «Автомобильная дорога «Подъезд к с. Петропавловка» на участке км 0+000 - км 7+000».</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составляет 179 622 926,86 рублей.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Заказчиком и уполномоченным органом в материалы дела представлены мотивированные отзывы, согласно которым считают жалобу необоснованной.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Изучив материалы дела № 027/06/105-1545/2024, исходя из конкретных обстоятельств настоящего дела, Комиссия Хабаровского УФАС России пришла к следующим выводам.</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 1 ст. 1 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w:t>
      </w:r>
      <w:r>
        <w:rPr>
          <w:color w:val="000000"/>
          <w:spacing w:val="0"/>
          <w:w w:val="100"/>
          <w:position w:val="0"/>
          <w:shd w:val="clear" w:color="auto" w:fill="auto"/>
          <w:lang w:val="ru-RU" w:eastAsia="ru-RU" w:bidi="ru-RU"/>
        </w:rPr>
        <w:t>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Заявитель в жалобе указывает на то, что условия проекта контракта в части установления срока гарантийных обязательств не соответствуют условиям Постановления Правительства Российской Федерации от 08.04.2023 № 572 «Об утверждении типовых условий контрактов на выполнение работ по ремонту автомобильных дорог, искусственных дорожных сооружений» (далее - Постановление №572, типовые условия контрактов на выполнение работ по ремонту автомобильных дорог, искусственных дорожных сооружений).</w:t>
      </w:r>
    </w:p>
    <w:p>
      <w:pPr>
        <w:pStyle w:val="Style14"/>
        <w:keepNext w:val="0"/>
        <w:keepLines w:val="0"/>
        <w:widowControl w:val="0"/>
        <w:numPr>
          <w:ilvl w:val="0"/>
          <w:numId w:val="3"/>
        </w:numPr>
        <w:shd w:val="clear" w:color="auto" w:fill="auto"/>
        <w:tabs>
          <w:tab w:pos="91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11 ст. 34 Закона о контрактной системе Правительство Российской Федерации вправе установить типовые условия контрактов, подлежащие применению заказчиками при осуществлении закупок.</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ч. 11 ст. 34 Закона о контрактной системе Правительство Российской Федерации утвердило типовые условия контрактов на выполнение работ по ремонту автомобильных дорог, искусственных дорожных сооружений.</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Приложением №1 к типовым условиям контрактов на выполнение работ по ремонту автомобильных дорог, искусственных дорожных сооружений установлены гарантийные сроки на конструктивные элементы автомобильной дороги, искусственного дорожного сооружения.</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 гарантийный срок для обочины (ее частей) автомобильной дороги, укрепленных материалом по типу проезжей части, принимается равным гарантийному сроку покрытия верхнего слоя дорожной одежды автомобильной дороги. В иных случаях гарантийный срок для обочины (ее частей) автомобильной дороги не регламентируется.</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 7.1 проекта контракта Подрядчик гарантирует соответствие качества выполненных Подрядчиком работ условиям контракта. Гарантийные сроки установлены Приложением № 2 к контракту.</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Приложении № 2 к контракту установлены гарантийные сроки на конструктивные элементы автомобильной дороги:</w:t>
      </w:r>
    </w:p>
    <w:p>
      <w:pPr>
        <w:pStyle w:val="Style14"/>
        <w:keepNext w:val="0"/>
        <w:keepLines w:val="0"/>
        <w:widowControl w:val="0"/>
        <w:numPr>
          <w:ilvl w:val="0"/>
          <w:numId w:val="5"/>
        </w:numPr>
        <w:shd w:val="clear" w:color="auto" w:fill="auto"/>
        <w:tabs>
          <w:tab w:pos="77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верхний слой дорожного покрытия автомобильной дороги из асфальтобетона- 7 лет;</w:t>
      </w:r>
    </w:p>
    <w:p>
      <w:pPr>
        <w:pStyle w:val="Style14"/>
        <w:keepNext w:val="0"/>
        <w:keepLines w:val="0"/>
        <w:widowControl w:val="0"/>
        <w:numPr>
          <w:ilvl w:val="0"/>
          <w:numId w:val="5"/>
        </w:numPr>
        <w:shd w:val="clear" w:color="auto" w:fill="auto"/>
        <w:tabs>
          <w:tab w:pos="77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обочины, укрепленные по типу проезжей части (асфальтобетонной смесью) - 7 лет;</w:t>
      </w:r>
    </w:p>
    <w:p>
      <w:pPr>
        <w:pStyle w:val="Style14"/>
        <w:keepNext w:val="0"/>
        <w:keepLines w:val="0"/>
        <w:widowControl w:val="0"/>
        <w:numPr>
          <w:ilvl w:val="0"/>
          <w:numId w:val="5"/>
        </w:numPr>
        <w:shd w:val="clear" w:color="auto" w:fill="auto"/>
        <w:tabs>
          <w:tab w:pos="1285"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обочины- 2 года.</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Представители Заказчика и уполномоченного органа в заседании комиссии пояснили, что п. 3.4 ГОСТ 32959-2014 «Дороги автомобильные общего пользования. Габариты приближения» определено, что обочина — это элемент дороги, примыкающий непосредственно к проезжей части и предназначенный для обеспечения устойчивости земляного полотна, повышения безопасности дорожного движения, организации движения пешеходов и велосипедистов, а также использования при чрезвычайных ситуациях.</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пунктами 23, 56 ЛСР № 03-01-01, пунктами 17,45 ЛСР № 05-01</w:t>
        <w:softHyphen/>
        <w:t xml:space="preserve">01 сметного расчета по ремонту устройство присыпных обочин выполняется существующим асфальтогранулянтом после окончания основных работ по устройству дорожной одежды, тем самым гарантийный срок не может быть принят равным </w:t>
      </w:r>
      <w:r>
        <w:rPr>
          <w:color w:val="000000"/>
          <w:spacing w:val="0"/>
          <w:w w:val="100"/>
          <w:position w:val="0"/>
          <w:shd w:val="clear" w:color="auto" w:fill="auto"/>
          <w:lang w:val="ru-RU" w:eastAsia="ru-RU" w:bidi="ru-RU"/>
        </w:rPr>
        <w:t>гарантийному сроку покрытия верхнего слоя дорожной одежды автомобильной дороги.</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 как в иных случаях гарантийный срок для обочины (ее частей) автомобильной дороги не регламентируется, то есть, не установлены четкие ограничения, гарантийный срок для обочины из асфальтогранулянта принят - 2 года. В остальной части положения проекта контракта не противоречат типовым условиям контрактов на выполнение работ по ремонту автомобильных дорог, искусственных дорожных сооружений. Довод жалобы признается необоснованным.</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Довод о неправомерном указании в приложении к Техническому заданию СНиП 12-03-2001 и СНиП 12-04-2002 признается Комиссией Хабаровского УФАС России необоснованным в силу следующего.</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Описание объекта закупки содержится в разделе III Извещения «Техническая часть. Техническое задание».</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приложению к Техническому заданию работы выполняются в полном соответствии с настоящим Техническим заданием, требованиями Технического регламента Таможенного союза «Безопасность автомобильных дорог» ТР ТС № 014/2011, а также требованиями действующих в области дорожного строительства государственных стандартов (ГОСТ), строительных норм и правил (СНиП), сводов правил (СП).</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приложением к Техническому заданию в Перечень правовых актов, нормативной документации, используемых Подрядчиком при выполнении работ включены в том числе: СНиП 12-03-2001 «Безопасность труда в строительстве. Часть 1. Общие требования» и СНиП 12-04-2002 «Безопасность труда в строительстве. Часть 2. Строительное производство».</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Как установлено Комиссией Хабаровского УФАС России, нормативные акты СНиП 12-03-2001 «Безопасность труда в строительстве. Часть 1. Общие требования» и СНиП 12-04-2002 «Безопасность труда в строительстве. Часть 2. Строительное производство» принятые бывшим Госстроем РФ в 2001-2003 годах до вступления в силу Федерального закона от 27.12.2002 № 184-ФЗ «О техническом регулировании» (далее - Закон № 184- ФЗ) и имеющие в настоящее время статус действующих, подлежат обязательному исполнению наряду с другими аналогичными нормами, принятыми ранее и зарегистрированными Минюстом России в установленном порядке, в соответствии с п. 1 ст. 44 Федерального закона от 30.12.2009 № 384-ФЗ «Технический регламент о безопасности зданий и сооружений» до вступления в силу соответствующие технических регламентов.</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доводы жалобы в этой части являются несостоятельными.</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Довод о том, что в извещении о проведении спорной закупки заказчиком установлены противоречивые сроки в части исполнения контракта и выполнения работ в рамках контракта, заключаемого по результатам закупки также признается необоснованным.</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 8 ч. 1 ст. 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 силу п. 8.4 ч. 1 ст. 3 Закона о контрактной системе под отдельным этапом исполнения контракта понимается 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с настоящим Федеральным </w:t>
      </w:r>
      <w:r>
        <w:rPr>
          <w:color w:val="000000"/>
          <w:spacing w:val="0"/>
          <w:w w:val="100"/>
          <w:position w:val="0"/>
          <w:shd w:val="clear" w:color="auto" w:fill="auto"/>
          <w:lang w:val="ru-RU" w:eastAsia="ru-RU" w:bidi="ru-RU"/>
        </w:rPr>
        <w:t>законом документа о приемке) и оплату поставленного товара, выполненной работы, оказанной услуги.</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извещению о закупке работы по ремонту объекта «Автомобильная дорога «Подъезд к с. Петропавловка» на участке км 0+000 - км 7+000» выполняются в соответствии с Графиком выполнения работ по ремонту (приложение к Извещению),</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Как следует из пояснений представителей Заказчика, уполномоченного органа в ходе рассмотрения жалобы, под этапом выполнения работ по Графику выполнения работ по ремонту понимается часть обязательства поставщика (подрядчика, исполнителя), которые он должен выполнить в определенный период времени, при этом срок исполнения контракта включает в себя все этапы и меры, реализуемые после заключения контракта, в то время как срок выполнения работ указывает исключительно срок реализации своих обязательств исполнителем контракта. При установлении сроков исполнения и сроков действия контракта.</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ч. 1 ст. 94 Закона о контрактной системе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Style14"/>
        <w:keepNext w:val="0"/>
        <w:keepLines w:val="0"/>
        <w:widowControl w:val="0"/>
        <w:numPr>
          <w:ilvl w:val="0"/>
          <w:numId w:val="7"/>
        </w:numPr>
        <w:shd w:val="clear" w:color="auto" w:fill="auto"/>
        <w:tabs>
          <w:tab w:pos="92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приемку выполненной работы (ее результатов), отдельных этапов исполнения контракта, предусмотренных контрактом, включая проведение в соответствии с настоящим Федеральным законом экспертизы выполненной работы, отдельных этапов исполнения контракта;</w:t>
      </w:r>
    </w:p>
    <w:p>
      <w:pPr>
        <w:pStyle w:val="Style14"/>
        <w:keepNext w:val="0"/>
        <w:keepLines w:val="0"/>
        <w:widowControl w:val="0"/>
        <w:numPr>
          <w:ilvl w:val="0"/>
          <w:numId w:val="7"/>
        </w:numPr>
        <w:shd w:val="clear" w:color="auto" w:fill="auto"/>
        <w:tabs>
          <w:tab w:pos="92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оплату заказчиком подрядчику выполненной работы (ее результатов), а также отдельных этапов исполнения контракта;</w:t>
      </w:r>
    </w:p>
    <w:p>
      <w:pPr>
        <w:pStyle w:val="Style14"/>
        <w:keepNext w:val="0"/>
        <w:keepLines w:val="0"/>
        <w:widowControl w:val="0"/>
        <w:numPr>
          <w:ilvl w:val="0"/>
          <w:numId w:val="7"/>
        </w:numPr>
        <w:shd w:val="clear" w:color="auto" w:fill="auto"/>
        <w:tabs>
          <w:tab w:pos="92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взаимодействие заказчика с подрядчиком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подрядчиком или заказчиком условий контракта.</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Также, в соответствии с п. 4 ч. 13 ст. 94 Закона о контрактной системе в срок, установленный контрактом, но не позднее двадцати рабочих дней, следующих за днем поступления документа о приемке в соответствии с пунктом 3 настоящей части, заказчик осуществляет одно из следующих действий:</w:t>
      </w:r>
    </w:p>
    <w:p>
      <w:pPr>
        <w:pStyle w:val="Style14"/>
        <w:keepNext w:val="0"/>
        <w:keepLines w:val="0"/>
        <w:widowControl w:val="0"/>
        <w:numPr>
          <w:ilvl w:val="0"/>
          <w:numId w:val="9"/>
        </w:numPr>
        <w:shd w:val="clear" w:color="auto" w:fill="auto"/>
        <w:tabs>
          <w:tab w:pos="92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pStyle w:val="Style14"/>
        <w:keepNext w:val="0"/>
        <w:keepLines w:val="0"/>
        <w:widowControl w:val="0"/>
        <w:numPr>
          <w:ilvl w:val="0"/>
          <w:numId w:val="9"/>
        </w:numPr>
        <w:shd w:val="clear" w:color="auto" w:fill="auto"/>
        <w:tabs>
          <w:tab w:pos="92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Частью 13.1 ст. 34 Закона о контрактной системе указано, что срок оплаты заказчиком выполненной работы (ее результатов), отдельных этапов исполнения контракта составляет не более семи рабочих дней с даты подписания заказчиком документа о приемке.</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силу ч. 4 ст. 34 Закона о контрактной системе в контракт включается обязательное условие об ответственности заказчика и подрядчика за неисполнение или ненадлежащее исполнение обязательств, предусмотренных контрактом, что предусматривает претензионную (досудебную) работу по контракту (по каждому этапу)</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(составляет 30 дней в соответствии с ч. 5 ст. 4 АППК РФ).</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Как пояснили представители заказчика, уполномоченного органа, срок исполнения первого этапа контракта указан «с даты заключения контракта по 24.07.2025» в связи с тем, что согласно условиям контракта (п. 4.2.1.) и ст. 28 раздела III «Условия об обязанностях заказчика», Постановления Правительства Российской Федерации от 08.04.2023 № 572 «Об утверждении типовых условий контрактов на выполнение работ по ремонту автомобильных дорог, искусственных дорожных сооружений» заказчик для выполнения работ по контракту должен в течение 3 рабочих дней со дня заключения контракта передать подрядчику по акту приема-передачи строительную площадку, сметный расчет стоимости работ по ремонту автомобильной дороги на основании дефектной ведомости (далее - сметный расчет по ремонту), иные документы и имущество, необходимые для выполнения работ по контракту, или обеспечить их передачу, а также осуществить иные юридически значимые действия, необходимые для выполнения работ по контракту. Также, указанный в настоящем абзаце срок действия исполнения этапа указан для возможности выплаты аванса подрядчику до начала выполнения работ по Графику выполнения работ по ремонту. Это требуется для возможности приобретения материалов подрядчиком заранее (до начала выполнения работ по Графику выполнения работ по ремонту) в связи со 100 % предоплатой поставщику подрядчиком, а также с увеличенными сроками поставки материалов до объекта ремонта.</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Также, разница в этапности в два-три месяца исходит из количества выходных и праздничных дней в том или ином месяце, так как сроки по приемке выполненных работ и их оплате считаются в рабочих днях, к которым добавляется 30 календарных дней на претензионную работу (досудебный порядок урегулирования споров).</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в каждый этап исполнения контракта заказчиком включены сроки на выполнение работ (указаны в Графике выполнения работ по ремонту), приемку выполненной работы (ее результат), оплату за выполненные работы, срок на претензионную (досудебную) работу, что не противоречит действующему законодательству, доводы жалобы в этой части являются несостоятельными.</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Довод о том, что в ЛСР 03-01-01 «Дорожная одежда», ЛСР 05-01-01 «Пересечение и примыкания» для расчета стоимости дополнительной доставки битума до места производства работ на 43 км, применена расценка «Перевозка грузов I класса автомобилями-самосвалами» (-02-15-1-01-0030, +02-15-1-01-0043), что является ошибкой, так как готовый к применению битум (битумную эмульсию) транспортируют автогудронаторами. Также технической частью ГЭСН 27 указана конкретная норма на дополнительную перевозку битума - п. 1.27.8. -«Доставка к месту работ битума, битумной эмульсии нормами не учтена. При доставке к соответствующим нормам добавляются затраты, предусмотренные нормой 27-06-201-01».</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Представители Заказчика и уполномоченного органа пояснили, что проектной организацией ООО «Абрис» разработана документация на ремонт объекта «Автомобильная дорога «Подъезд к с. Петропавловка» на участке км 0+000-км 7+000». В Локальных сметных расчетах № 03-01-01 «Дорожная одежда», № 05-01-01 «Пересечения и примыкания» для расчета стоимости доставки битума до места производства работ на 43 км проектной организацией применена расценка «Перевозка грузов 1 класса автомобилями-самосвалами».</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Согласно п. 63 Приказа Министерства строительства и жилищно-коммунального </w:t>
      </w:r>
      <w:r>
        <w:rPr>
          <w:color w:val="000000"/>
          <w:spacing w:val="0"/>
          <w:w w:val="100"/>
          <w:position w:val="0"/>
          <w:shd w:val="clear" w:color="auto" w:fill="auto"/>
          <w:lang w:val="ru-RU" w:eastAsia="ru-RU" w:bidi="ru-RU"/>
        </w:rPr>
        <w:t>хозяйства Российской Федерации от 04.08.2020 № 421/пр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выбор материальных ресурсов и оборудования, для которых выполняется расчет дополнительных затрат на перевозку грузов для строительства автомобильным и (или) железнодорожным транспортом, судами морского (внутреннего водного) и воздушного транспорта на дополнительное расстояние, сверх учтенного сметными ценами, индексами изменения сметной стоимости, осуществляется по решению заказчика.</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данном случае Заказчик считает применение расценки на перевозку груза автомобилями-самосвалами допустимой и оптимальной. Доставка битума до места работ автогудронаторами емкостью цистерны 3500 л (ГЭСН27-06-201-01) является в данном случае экономически нецелесообразным, так как при работе автогудронатора задействованы водитель и механизатор по работе автогудронатора. При доставке битума работа механизатора по обслуживанию автогудронатора не требуется.</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Применение данной расценки приводит к необоснованному удорожанию стоимости перевозки битума за счет включенных затрат на работу механизатора. Для доставки битума до места производства работ применяются автобитумовозы, прицепные емкости для перевозки битума и емкости для битума, которые устанавливаются на бортовые автомобили и автосамосвалы.</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Комиссия Хабаровского УФАС России приходит к выводу, что выбор способа доставки битума и битумной эмульсии до места производства работ на стадии подготовки проектной документации принимает проектная организация. В данном случае проектной организацией совместно с Заказчиком принято решение использовать наиболее экономичный вариант транспортировки битума, что не противоречит нормам Закона о контрактной системе.</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 этом Заявитель предоставленным ему Законом о контрактной системе правом о даче разъяснений положений извещения об осуществлении спорной закупки не воспользовался.</w:t>
      </w:r>
      <w:r>
        <w:br w:type="page"/>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Также Комиссия Хабаровского УФАС России принимает во внимание, что в соответствии с протоколом подведения итогов определения поставщика (подрядчика, исполнителя) от 18.10.2024 №ИЭА1 на участие в закупке подано 9 заявок, из них 8 соответствуют требованиям извещения о закупке.</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14"/>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На основании изложенного, руководствуясь частями 8 статьи 106, пунктом 3 частью 15 статьи 99 Закона о контрактной системе в сфере закупок, Комиссия Хабаровского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Признать жалобу ООО «СтройДорСервис» на действия заказчика - Краевое государственное казённое учреждение «Хабаровское управление автомобильных дорог», уполномоченного органа - Комитет государственного заказа Правительства Хабаровского края при осуществлении закупки путем проведения аукциона в электронной форме на выполнение работ по ремонту объекта «Автомобильная дорога «Подъезд к с. Петропавловка» на участке км 0+000 - км 7+000» (извещение № 0122200002524003973) </w:t>
      </w:r>
      <w:r>
        <w:rPr>
          <w:b/>
          <w:bCs/>
          <w:color w:val="000000"/>
          <w:spacing w:val="0"/>
          <w:w w:val="100"/>
          <w:position w:val="0"/>
          <w:shd w:val="clear" w:color="auto" w:fill="auto"/>
          <w:lang w:val="ru-RU" w:eastAsia="ru-RU" w:bidi="ru-RU"/>
        </w:rPr>
        <w:t>необоснованной.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pPr>
      <w:r>
        <w:drawing>
          <wp:anchor distT="163830" distB="0" distL="1886585" distR="1789430" simplePos="0" relativeHeight="125829378" behindDoc="0" locked="0" layoutInCell="1" allowOverlap="1">
            <wp:simplePos x="0" y="0"/>
            <wp:positionH relativeFrom="page">
              <wp:posOffset>2623185</wp:posOffset>
            </wp:positionH>
            <wp:positionV relativeFrom="paragraph">
              <wp:posOffset>163830</wp:posOffset>
            </wp:positionV>
            <wp:extent cx="389890" cy="572770"/>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736600</wp:posOffset>
                </wp:positionH>
                <wp:positionV relativeFrom="paragraph">
                  <wp:posOffset>127000</wp:posOffset>
                </wp:positionV>
                <wp:extent cx="1828800" cy="252730"/>
                <wp:wrapNone/>
                <wp:docPr id="7" name="Shape 7"/>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color w:val="000000"/>
                                <w:spacing w:val="0"/>
                                <w:w w:val="100"/>
                                <w:position w:val="0"/>
                                <w:sz w:val="28"/>
                                <w:szCs w:val="28"/>
                                <w:shd w:val="clear" w:color="auto" w:fill="auto"/>
                                <w:lang w:val="ru-RU" w:eastAsia="ru-RU" w:bidi="ru-RU"/>
                              </w:rPr>
                              <w:t>Председатель комиссии</w:t>
                            </w:r>
                          </w:p>
                        </w:txbxContent>
                      </wps:txbx>
                      <wps:bodyPr lIns="0" tIns="0" rIns="0" bIns="0">
                        <a:noAutoFit/>
                      </wps:bodyPr>
                    </wps:wsp>
                  </a:graphicData>
                </a:graphic>
              </wp:anchor>
            </w:drawing>
          </mc:Choice>
          <mc:Fallback>
            <w:pict>
              <v:shape id="_x0000_s1033" type="#_x0000_t202" style="position:absolute;margin-left:58.pt;margin-top:10.pt;width:144.pt;height:19.9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color w:val="000000"/>
                          <w:spacing w:val="0"/>
                          <w:w w:val="100"/>
                          <w:position w:val="0"/>
                          <w:sz w:val="28"/>
                          <w:szCs w:val="28"/>
                          <w:shd w:val="clear" w:color="auto" w:fill="auto"/>
                          <w:lang w:val="ru-RU" w:eastAsia="ru-RU" w:bidi="ru-RU"/>
                        </w:rPr>
                        <w:t>Председатель комиссии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3119755</wp:posOffset>
                </wp:positionH>
                <wp:positionV relativeFrom="paragraph">
                  <wp:posOffset>602615</wp:posOffset>
                </wp:positionV>
                <wp:extent cx="1276985" cy="103505"/>
                <wp:wrapNone/>
                <wp:docPr id="9" name="Shape 9"/>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65000000000001pt;margin-top:47.450000000000003pt;width:100.55pt;height:8.15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292100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54545"/>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05000000000001pt;margin-top:23.pt;width:135.84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54545"/>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p>
    <w:p>
      <w:pPr>
        <w:widowControl w:val="0"/>
        <w:spacing w:line="1" w:lineRule="exact"/>
      </w:pPr>
      <w:r>
        <mc:AlternateContent>
          <mc:Choice Requires="wps">
            <w:drawing>
              <wp:anchor distT="476250" distB="0" distL="0" distR="0" simplePos="0" relativeHeight="125829379" behindDoc="0" locked="0" layoutInCell="1" allowOverlap="1">
                <wp:simplePos x="0" y="0"/>
                <wp:positionH relativeFrom="page">
                  <wp:posOffset>736600</wp:posOffset>
                </wp:positionH>
                <wp:positionV relativeFrom="paragraph">
                  <wp:posOffset>476250</wp:posOffset>
                </wp:positionV>
                <wp:extent cx="1341120" cy="250190"/>
                <wp:wrapTopAndBottom/>
                <wp:docPr id="13" name="Shape 13"/>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9" type="#_x0000_t202" style="position:absolute;margin-left:58.pt;margin-top:37.5pt;width:105.60000000000001pt;height:19.699999999999999pt;z-index:-125829374;mso-wrap-distance-left:0;mso-wrap-distance-top:37.5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12700" distB="401955" distL="0" distR="0" simplePos="0" relativeHeight="125829381" behindDoc="0" locked="0" layoutInCell="1" allowOverlap="1">
                <wp:simplePos x="0" y="0"/>
                <wp:positionH relativeFrom="page">
                  <wp:posOffset>2672080</wp:posOffset>
                </wp:positionH>
                <wp:positionV relativeFrom="paragraph">
                  <wp:posOffset>12700</wp:posOffset>
                </wp:positionV>
                <wp:extent cx="2096770" cy="311150"/>
                <wp:wrapTopAndBottom/>
                <wp:docPr id="15" name="Shape 15"/>
                <a:graphic xmlns:a="http://schemas.openxmlformats.org/drawingml/2006/main">
                  <a:graphicData uri="http://schemas.microsoft.com/office/word/2010/wordprocessingShape">
                    <wps:wsp>
                      <wps:cNvSpPr txBox="1"/>
                      <wps:spPr>
                        <a:xfrm>
                          <a:ext cx="2096770" cy="311150"/>
                        </a:xfrm>
                        <a:prstGeom prst="rect"/>
                        <a:noFill/>
                      </wps:spPr>
                      <wps:txbx>
                        <w:txbxContent>
                          <w:p>
                            <w:pPr>
                              <w:pStyle w:val="Style23"/>
                              <w:keepNext w:val="0"/>
                              <w:keepLines w:val="0"/>
                              <w:widowControl w:val="0"/>
                              <w:shd w:val="clear" w:color="auto" w:fill="auto"/>
                              <w:bidi w:val="0"/>
                              <w:spacing w:before="0" w:after="0" w:line="276" w:lineRule="auto"/>
                              <w:ind w:left="0" w:right="0" w:firstLine="0"/>
                              <w:jc w:val="left"/>
                            </w:pPr>
                            <w:r>
                              <w:rPr>
                                <w:color w:val="6B6B6B"/>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53О9ЭА0421ЕЕ18С746В01 </w:t>
                            </w:r>
                            <w:r>
                              <w:rPr>
                                <w:spacing w:val="0"/>
                                <w:w w:val="100"/>
                                <w:position w:val="0"/>
                                <w:shd w:val="clear" w:color="auto" w:fill="auto"/>
                                <w:lang w:val="ru-RU" w:eastAsia="ru-RU" w:bidi="ru-RU"/>
                              </w:rPr>
                              <w:t>Е823Е3291СЗ</w:t>
                            </w:r>
                          </w:p>
                          <w:p>
                            <w:pPr>
                              <w:pStyle w:val="Style23"/>
                              <w:keepNext w:val="0"/>
                              <w:keepLines w:val="0"/>
                              <w:widowControl w:val="0"/>
                              <w:shd w:val="clear" w:color="auto" w:fill="auto"/>
                              <w:bidi w:val="0"/>
                              <w:spacing w:before="0" w:after="0" w:line="276" w:lineRule="auto"/>
                              <w:ind w:left="0"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05.09.2024 </w:t>
                            </w:r>
                            <w:r>
                              <w:rPr>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29.11.2025</w:t>
                            </w:r>
                          </w:p>
                        </w:txbxContent>
                      </wps:txbx>
                      <wps:bodyPr lIns="0" tIns="0" rIns="0" bIns="0">
                        <a:noAutoFit/>
                      </wps:bodyPr>
                    </wps:wsp>
                  </a:graphicData>
                </a:graphic>
              </wp:anchor>
            </w:drawing>
          </mc:Choice>
          <mc:Fallback>
            <w:pict>
              <v:shape id="_x0000_s1041" type="#_x0000_t202" style="position:absolute;margin-left:210.40000000000001pt;margin-top:1.pt;width:165.09999999999999pt;height:24.5pt;z-index:-125829372;mso-wrap-distance-left:0;mso-wrap-distance-top:1.pt;mso-wrap-distance-right:0;mso-wrap-distance-bottom:31.650000000000002pt;mso-position-horizontal-relative:page" filled="f" stroked="f">
                <v:textbox inset="0,0,0,0">
                  <w:txbxContent>
                    <w:p>
                      <w:pPr>
                        <w:pStyle w:val="Style23"/>
                        <w:keepNext w:val="0"/>
                        <w:keepLines w:val="0"/>
                        <w:widowControl w:val="0"/>
                        <w:shd w:val="clear" w:color="auto" w:fill="auto"/>
                        <w:bidi w:val="0"/>
                        <w:spacing w:before="0" w:after="0" w:line="276" w:lineRule="auto"/>
                        <w:ind w:left="0" w:right="0" w:firstLine="0"/>
                        <w:jc w:val="left"/>
                      </w:pPr>
                      <w:r>
                        <w:rPr>
                          <w:color w:val="6B6B6B"/>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53О9ЭА0421ЕЕ18С746В01 </w:t>
                      </w:r>
                      <w:r>
                        <w:rPr>
                          <w:spacing w:val="0"/>
                          <w:w w:val="100"/>
                          <w:position w:val="0"/>
                          <w:shd w:val="clear" w:color="auto" w:fill="auto"/>
                          <w:lang w:val="ru-RU" w:eastAsia="ru-RU" w:bidi="ru-RU"/>
                        </w:rPr>
                        <w:t>Е823Е3291СЗ</w:t>
                      </w:r>
                    </w:p>
                    <w:p>
                      <w:pPr>
                        <w:pStyle w:val="Style23"/>
                        <w:keepNext w:val="0"/>
                        <w:keepLines w:val="0"/>
                        <w:widowControl w:val="0"/>
                        <w:shd w:val="clear" w:color="auto" w:fill="auto"/>
                        <w:bidi w:val="0"/>
                        <w:spacing w:before="0" w:after="0" w:line="276" w:lineRule="auto"/>
                        <w:ind w:left="0"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05.09.2024 </w:t>
                      </w:r>
                      <w:r>
                        <w:rPr>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29.11.2025</w:t>
                      </w:r>
                    </w:p>
                  </w:txbxContent>
                </v:textbox>
                <w10:wrap type="topAndBottom" anchorx="page"/>
              </v:shape>
            </w:pict>
          </mc:Fallback>
        </mc:AlternateContent>
      </w:r>
      <w:r>
        <mc:AlternateContent>
          <mc:Choice Requires="wps">
            <w:drawing>
              <wp:anchor distT="201930" distB="273685" distL="0" distR="0" simplePos="0" relativeHeight="125829383" behindDoc="0" locked="0" layoutInCell="1" allowOverlap="1">
                <wp:simplePos x="0" y="0"/>
                <wp:positionH relativeFrom="page">
                  <wp:posOffset>6061710</wp:posOffset>
                </wp:positionH>
                <wp:positionV relativeFrom="paragraph">
                  <wp:posOffset>201930</wp:posOffset>
                </wp:positionV>
                <wp:extent cx="1124585" cy="250190"/>
                <wp:wrapTopAndBottom/>
                <wp:docPr id="17" name="Shape 17"/>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43" type="#_x0000_t202" style="position:absolute;margin-left:477.30000000000001pt;margin-top:15.9pt;width:88.549999999999997pt;height:19.699999999999999pt;z-index:-125829370;mso-wrap-distance-left:0;mso-wrap-distance-top:15.9pt;mso-wrap-distance-right:0;mso-wrap-distance-bottom:21.5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Л.А. Ильченко</w:t>
                      </w:r>
                    </w:p>
                  </w:txbxContent>
                </v:textbox>
                <w10:wrap type="topAndBottom" anchorx="page"/>
              </v:shape>
            </w:pict>
          </mc:Fallback>
        </mc:AlternateContent>
      </w:r>
    </w:p>
    <w:p>
      <w:pPr>
        <w:widowControl w:val="0"/>
        <w:spacing w:line="1" w:lineRule="exact"/>
      </w:pPr>
      <w:r>
        <w:drawing>
          <wp:anchor distT="114300" distB="0" distL="0" distR="1807210" simplePos="0" relativeHeight="125829385" behindDoc="0" locked="0" layoutInCell="1" allowOverlap="1">
            <wp:simplePos x="0" y="0"/>
            <wp:positionH relativeFrom="page">
              <wp:posOffset>2680970</wp:posOffset>
            </wp:positionH>
            <wp:positionV relativeFrom="paragraph">
              <wp:posOffset>114300</wp:posOffset>
            </wp:positionV>
            <wp:extent cx="311150" cy="35941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11150" cy="3594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184150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05000000000001pt;margin-top:14.5pt;width:135.84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widowControl w:val="0"/>
        <w:spacing w:line="1" w:lineRule="exact"/>
      </w:pPr>
      <w:r>
        <mc:AlternateContent>
          <mc:Choice Requires="wps">
            <w:drawing>
              <wp:anchor distT="12700" distB="496570" distL="0" distR="0" simplePos="0" relativeHeight="125829386" behindDoc="0" locked="0" layoutInCell="1" allowOverlap="1">
                <wp:simplePos x="0" y="0"/>
                <wp:positionH relativeFrom="page">
                  <wp:posOffset>3120390</wp:posOffset>
                </wp:positionH>
                <wp:positionV relativeFrom="paragraph">
                  <wp:posOffset>12700</wp:posOffset>
                </wp:positionV>
                <wp:extent cx="1283335" cy="97790"/>
                <wp:wrapTopAndBottom/>
                <wp:docPr id="23" name="Shape 23"/>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 xml:space="preserve">СВЕДЕНИЯ 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8E8E8"/>
                                <w:spacing w:val="0"/>
                                <w:w w:val="100"/>
                                <w:position w:val="0"/>
                                <w:sz w:val="12"/>
                                <w:szCs w:val="12"/>
                                <w:shd w:val="clear" w:color="auto" w:fill="auto"/>
                                <w:lang w:val="ru-RU" w:eastAsia="ru-RU" w:bidi="ru-RU"/>
                              </w:rPr>
                              <w:t>ЭП</w:t>
                            </w:r>
                          </w:p>
                        </w:txbxContent>
                      </wps:txbx>
                      <wps:bodyPr wrap="none" lIns="0" tIns="0" rIns="0" bIns="0">
                        <a:noAutoFit/>
                      </wps:bodyPr>
                    </wps:wsp>
                  </a:graphicData>
                </a:graphic>
              </wp:anchor>
            </w:drawing>
          </mc:Choice>
          <mc:Fallback>
            <w:pict>
              <v:shape id="_x0000_s1049" type="#_x0000_t202" style="position:absolute;margin-left:245.70000000000002pt;margin-top:1.pt;width:101.05pt;height:7.7000000000000002pt;z-index:-125829367;mso-wrap-distance-left:0;mso-wrap-distance-top:1.pt;mso-wrap-distance-right:0;mso-wrap-distance-bottom:39.100000000000001pt;mso-position-horizontal-relative:page" filled="f" stroked="f">
                <v:textbox inset="0,0,0,0">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 xml:space="preserve">СВЕДЕНИЯ 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8E8E8"/>
                          <w:spacing w:val="0"/>
                          <w:w w:val="100"/>
                          <w:position w:val="0"/>
                          <w:sz w:val="12"/>
                          <w:szCs w:val="12"/>
                          <w:shd w:val="clear" w:color="auto" w:fill="auto"/>
                          <w:lang w:val="ru-RU" w:eastAsia="ru-RU" w:bidi="ru-RU"/>
                        </w:rPr>
                        <w:t>ЭП</w:t>
                      </w:r>
                    </w:p>
                  </w:txbxContent>
                </v:textbox>
                <w10:wrap type="topAndBottom" anchorx="page"/>
              </v:shape>
            </w:pict>
          </mc:Fallback>
        </mc:AlternateContent>
      </w:r>
      <w:r>
        <mc:AlternateContent>
          <mc:Choice Requires="wps">
            <w:drawing>
              <wp:anchor distT="165100" distB="143510" distL="0" distR="0" simplePos="0" relativeHeight="125829388" behindDoc="0" locked="0" layoutInCell="1" allowOverlap="1">
                <wp:simplePos x="0" y="0"/>
                <wp:positionH relativeFrom="page">
                  <wp:posOffset>2672080</wp:posOffset>
                </wp:positionH>
                <wp:positionV relativeFrom="paragraph">
                  <wp:posOffset>165100</wp:posOffset>
                </wp:positionV>
                <wp:extent cx="2118360" cy="298450"/>
                <wp:wrapTopAndBottom/>
                <wp:docPr id="25" name="Shape 25"/>
                <a:graphic xmlns:a="http://schemas.openxmlformats.org/drawingml/2006/main">
                  <a:graphicData uri="http://schemas.microsoft.com/office/word/2010/wordprocessingShape">
                    <wps:wsp>
                      <wps:cNvSpPr txBox="1"/>
                      <wps:spPr>
                        <a:xfrm>
                          <a:ext cx="2118360" cy="2984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Кушнер Жанна Владимировна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1303А529ПОСЮ636543ЕЕВЕ625АВ587А</w:t>
                            </w:r>
                          </w:p>
                          <w:p>
                            <w:pPr>
                              <w:pStyle w:val="Style23"/>
                              <w:keepNext w:val="0"/>
                              <w:keepLines w:val="0"/>
                              <w:widowControl w:val="0"/>
                              <w:shd w:val="clear" w:color="auto" w:fill="auto"/>
                              <w:bidi w:val="0"/>
                              <w:spacing w:before="0" w:after="0" w:line="240" w:lineRule="auto"/>
                              <w:ind w:left="0"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01.07.2024 по </w:t>
                            </w:r>
                            <w:r>
                              <w:rPr>
                                <w:color w:val="6B6B6B"/>
                                <w:spacing w:val="0"/>
                                <w:w w:val="100"/>
                                <w:position w:val="0"/>
                                <w:shd w:val="clear" w:color="auto" w:fill="auto"/>
                                <w:lang w:val="ru-RU" w:eastAsia="ru-RU" w:bidi="ru-RU"/>
                              </w:rPr>
                              <w:t>24.09.2025</w:t>
                            </w:r>
                          </w:p>
                        </w:txbxContent>
                      </wps:txbx>
                      <wps:bodyPr lIns="0" tIns="0" rIns="0" bIns="0">
                        <a:noAutoFit/>
                      </wps:bodyPr>
                    </wps:wsp>
                  </a:graphicData>
                </a:graphic>
              </wp:anchor>
            </w:drawing>
          </mc:Choice>
          <mc:Fallback>
            <w:pict>
              <v:shape id="_x0000_s1051" type="#_x0000_t202" style="position:absolute;margin-left:210.40000000000001pt;margin-top:13.pt;width:166.80000000000001pt;height:23.5pt;z-index:-125829365;mso-wrap-distance-left:0;mso-wrap-distance-top:13.pt;mso-wrap-distance-right:0;mso-wrap-distance-bottom:11.30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Кушнер Жанна Владимировна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1303А529ПОСЮ636543ЕЕВЕ625АВ587А</w:t>
                      </w:r>
                    </w:p>
                    <w:p>
                      <w:pPr>
                        <w:pStyle w:val="Style23"/>
                        <w:keepNext w:val="0"/>
                        <w:keepLines w:val="0"/>
                        <w:widowControl w:val="0"/>
                        <w:shd w:val="clear" w:color="auto" w:fill="auto"/>
                        <w:bidi w:val="0"/>
                        <w:spacing w:before="0" w:after="0" w:line="240" w:lineRule="auto"/>
                        <w:ind w:left="0"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01.07.2024 по </w:t>
                      </w:r>
                      <w:r>
                        <w:rPr>
                          <w:color w:val="6B6B6B"/>
                          <w:spacing w:val="0"/>
                          <w:w w:val="100"/>
                          <w:position w:val="0"/>
                          <w:shd w:val="clear" w:color="auto" w:fill="auto"/>
                          <w:lang w:val="ru-RU" w:eastAsia="ru-RU" w:bidi="ru-RU"/>
                        </w:rPr>
                        <w:t>24.09.2025</w:t>
                      </w:r>
                    </w:p>
                  </w:txbxContent>
                </v:textbox>
                <w10:wrap type="topAndBottom" anchorx="page"/>
              </v:shape>
            </w:pict>
          </mc:Fallback>
        </mc:AlternateContent>
      </w:r>
      <w:r>
        <mc:AlternateContent>
          <mc:Choice Requires="wps">
            <w:drawing>
              <wp:anchor distT="354330" distB="0" distL="0" distR="0" simplePos="0" relativeHeight="125829390" behindDoc="0" locked="0" layoutInCell="1" allowOverlap="1">
                <wp:simplePos x="0" y="0"/>
                <wp:positionH relativeFrom="page">
                  <wp:posOffset>6153150</wp:posOffset>
                </wp:positionH>
                <wp:positionV relativeFrom="paragraph">
                  <wp:posOffset>354330</wp:posOffset>
                </wp:positionV>
                <wp:extent cx="1033145" cy="252730"/>
                <wp:wrapTopAndBottom/>
                <wp:docPr id="27" name="Shape 27"/>
                <a:graphic xmlns:a="http://schemas.openxmlformats.org/drawingml/2006/main">
                  <a:graphicData uri="http://schemas.microsoft.com/office/word/2010/wordprocessingShape">
                    <wps:wsp>
                      <wps:cNvSpPr txBox="1"/>
                      <wps:spPr>
                        <a:xfrm>
                          <a:ext cx="103314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Ж.В. Кушнер</w:t>
                            </w:r>
                          </w:p>
                        </w:txbxContent>
                      </wps:txbx>
                      <wps:bodyPr wrap="none" lIns="0" tIns="0" rIns="0" bIns="0">
                        <a:noAutoFit/>
                      </wps:bodyPr>
                    </wps:wsp>
                  </a:graphicData>
                </a:graphic>
              </wp:anchor>
            </w:drawing>
          </mc:Choice>
          <mc:Fallback>
            <w:pict>
              <v:shape id="_x0000_s1053" type="#_x0000_t202" style="position:absolute;margin-left:484.5pt;margin-top:27.900000000000002pt;width:81.350000000000009pt;height:19.900000000000002pt;z-index:-125829363;mso-wrap-distance-left:0;mso-wrap-distance-top:27.900000000000002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Ж.В. Кушнер</w:t>
                      </w:r>
                    </w:p>
                  </w:txbxContent>
                </v:textbox>
                <w10:wrap type="topAndBottom" anchorx="page"/>
              </v:shape>
            </w:pict>
          </mc:Fallback>
        </mc:AlternateContent>
      </w:r>
    </w:p>
    <w:p>
      <w:pPr>
        <w:widowControl w:val="0"/>
        <w:spacing w:line="1" w:lineRule="exact"/>
        <w:sectPr>
          <w:footnotePr>
            <w:pos w:val="pageBottom"/>
            <w:numFmt w:val="decimal"/>
            <w:numRestart w:val="continuous"/>
          </w:footnotePr>
          <w:type w:val="continuous"/>
          <w:pgSz w:w="11900" w:h="16840"/>
          <w:pgMar w:top="1075" w:right="540" w:bottom="1189" w:left="1098" w:header="0" w:footer="3" w:gutter="0"/>
          <w:cols w:space="720"/>
          <w:noEndnote/>
          <w:rtlGutter w:val="0"/>
          <w:docGrid w:linePitch="360"/>
        </w:sectPr>
      </w:pPr>
      <w:r>
        <w:drawing>
          <wp:anchor distT="330200" distB="462915" distL="0" distR="1789430" simplePos="0" relativeHeight="125829392" behindDoc="0" locked="0" layoutInCell="1" allowOverlap="1">
            <wp:simplePos x="0" y="0"/>
            <wp:positionH relativeFrom="page">
              <wp:posOffset>2623185</wp:posOffset>
            </wp:positionH>
            <wp:positionV relativeFrom="paragraph">
              <wp:posOffset>330200</wp:posOffset>
            </wp:positionV>
            <wp:extent cx="389890" cy="57277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3119755</wp:posOffset>
                </wp:positionH>
                <wp:positionV relativeFrom="paragraph">
                  <wp:posOffset>768985</wp:posOffset>
                </wp:positionV>
                <wp:extent cx="1276985" cy="100330"/>
                <wp:wrapNone/>
                <wp:docPr id="31" name="Shape 3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8E8E8"/>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57" type="#_x0000_t202" style="position:absolute;margin-left:245.65000000000001pt;margin-top:60.550000000000004pt;width:100.55pt;height:7.90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8E8E8"/>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3074035</wp:posOffset>
                </wp:positionH>
                <wp:positionV relativeFrom="paragraph">
                  <wp:posOffset>455295</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05000000000001pt;margin-top:35.850000000000001pt;width:135.84999999999999pt;height:20.15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924560" distB="140335" distL="0" distR="0" simplePos="0" relativeHeight="125829393" behindDoc="0" locked="0" layoutInCell="1" allowOverlap="1">
                <wp:simplePos x="0" y="0"/>
                <wp:positionH relativeFrom="page">
                  <wp:posOffset>2672080</wp:posOffset>
                </wp:positionH>
                <wp:positionV relativeFrom="paragraph">
                  <wp:posOffset>924560</wp:posOffset>
                </wp:positionV>
                <wp:extent cx="2063750" cy="298450"/>
                <wp:wrapTopAndBottom/>
                <wp:docPr id="35" name="Shape 35"/>
                <a:graphic xmlns:a="http://schemas.openxmlformats.org/drawingml/2006/main">
                  <a:graphicData uri="http://schemas.microsoft.com/office/word/2010/wordprocessingShape">
                    <wps:wsp>
                      <wps:cNvSpPr txBox="1"/>
                      <wps:spPr>
                        <a:xfrm>
                          <a:ext cx="2063750" cy="2984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Пилипенко Мария Алексеевна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4АЗЕ655ЕСА49Е804048Р50ВЕ33298660</w:t>
                            </w:r>
                          </w:p>
                          <w:p>
                            <w:pPr>
                              <w:pStyle w:val="Style23"/>
                              <w:keepNext w:val="0"/>
                              <w:keepLines w:val="0"/>
                              <w:widowControl w:val="0"/>
                              <w:shd w:val="clear" w:color="auto" w:fill="auto"/>
                              <w:bidi w:val="0"/>
                              <w:spacing w:before="0" w:after="0" w:line="240" w:lineRule="auto"/>
                              <w:ind w:left="0" w:right="0" w:firstLine="0"/>
                              <w:jc w:val="left"/>
                            </w:pPr>
                            <w:r>
                              <w:rPr>
                                <w:color w:val="6B6B6B"/>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 xml:space="preserve">20.11.2023 </w:t>
                            </w:r>
                            <w:r>
                              <w:rPr>
                                <w:color w:val="242424"/>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12.02.2025</w:t>
                            </w:r>
                          </w:p>
                        </w:txbxContent>
                      </wps:txbx>
                      <wps:bodyPr lIns="0" tIns="0" rIns="0" bIns="0">
                        <a:noAutoFit/>
                      </wps:bodyPr>
                    </wps:wsp>
                  </a:graphicData>
                </a:graphic>
              </wp:anchor>
            </w:drawing>
          </mc:Choice>
          <mc:Fallback>
            <w:pict>
              <v:shape id="_x0000_s1061" type="#_x0000_t202" style="position:absolute;margin-left:210.40000000000001pt;margin-top:72.799999999999997pt;width:162.5pt;height:23.5pt;z-index:-125829360;mso-wrap-distance-left:0;mso-wrap-distance-top:72.799999999999997pt;mso-wrap-distance-right:0;mso-wrap-distance-bottom:11.05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Пилипенко Мария Алексеевна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4АЗЕ655ЕСА49Е804048Р50ВЕ33298660</w:t>
                      </w:r>
                    </w:p>
                    <w:p>
                      <w:pPr>
                        <w:pStyle w:val="Style23"/>
                        <w:keepNext w:val="0"/>
                        <w:keepLines w:val="0"/>
                        <w:widowControl w:val="0"/>
                        <w:shd w:val="clear" w:color="auto" w:fill="auto"/>
                        <w:bidi w:val="0"/>
                        <w:spacing w:before="0" w:after="0" w:line="240" w:lineRule="auto"/>
                        <w:ind w:left="0" w:right="0" w:firstLine="0"/>
                        <w:jc w:val="left"/>
                      </w:pPr>
                      <w:r>
                        <w:rPr>
                          <w:color w:val="6B6B6B"/>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 xml:space="preserve">20.11.2023 </w:t>
                      </w:r>
                      <w:r>
                        <w:rPr>
                          <w:color w:val="242424"/>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12.02.2025</w:t>
                      </w:r>
                    </w:p>
                  </w:txbxContent>
                </v:textbox>
                <w10:wrap type="topAndBottom" anchorx="page"/>
              </v:shape>
            </w:pict>
          </mc:Fallback>
        </mc:AlternateContent>
      </w:r>
      <w:r>
        <mc:AlternateContent>
          <mc:Choice Requires="wps">
            <w:drawing>
              <wp:anchor distT="1110615" distB="0" distL="0" distR="0" simplePos="0" relativeHeight="125829395" behindDoc="0" locked="0" layoutInCell="1" allowOverlap="1">
                <wp:simplePos x="0" y="0"/>
                <wp:positionH relativeFrom="page">
                  <wp:posOffset>5893435</wp:posOffset>
                </wp:positionH>
                <wp:positionV relativeFrom="paragraph">
                  <wp:posOffset>1110615</wp:posOffset>
                </wp:positionV>
                <wp:extent cx="1292225" cy="252730"/>
                <wp:wrapTopAndBottom/>
                <wp:docPr id="37" name="Shape 37"/>
                <a:graphic xmlns:a="http://schemas.openxmlformats.org/drawingml/2006/main">
                  <a:graphicData uri="http://schemas.microsoft.com/office/word/2010/wordprocessingShape">
                    <wps:wsp>
                      <wps:cNvSpPr txBox="1"/>
                      <wps:spPr>
                        <a:xfrm>
                          <a:ext cx="129222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Пилипенко</w:t>
                            </w:r>
                          </w:p>
                        </w:txbxContent>
                      </wps:txbx>
                      <wps:bodyPr wrap="none" lIns="0" tIns="0" rIns="0" bIns="0">
                        <a:noAutoFit/>
                      </wps:bodyPr>
                    </wps:wsp>
                  </a:graphicData>
                </a:graphic>
              </wp:anchor>
            </w:drawing>
          </mc:Choice>
          <mc:Fallback>
            <w:pict>
              <v:shape id="_x0000_s1063" type="#_x0000_t202" style="position:absolute;margin-left:464.05000000000001pt;margin-top:87.450000000000003pt;width:101.75pt;height:19.900000000000002pt;z-index:-125829358;mso-wrap-distance-left:0;mso-wrap-distance-top:87.450000000000003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Пилипенко</w:t>
                      </w:r>
                    </w:p>
                  </w:txbxContent>
                </v:textbox>
                <w10:wrap type="topAndBottom" anchorx="page"/>
              </v:shape>
            </w:pict>
          </mc:Fallback>
        </mc:AlternateContent>
      </w:r>
    </w:p>
    <w:p>
      <w:pPr>
        <w:widowControl w:val="0"/>
        <w:spacing w:line="240" w:lineRule="exact"/>
        <w:rPr>
          <w:sz w:val="19"/>
          <w:szCs w:val="19"/>
        </w:rPr>
      </w:pPr>
    </w:p>
    <w:p>
      <w:pPr>
        <w:widowControl w:val="0"/>
        <w:spacing w:before="0" w:after="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1110"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Исп.Пилипенко М.А. тел.7 (4212) 31-11-91</w:t>
      </w:r>
    </w:p>
    <w:sectPr>
      <w:footnotePr>
        <w:pos w:val="pageBottom"/>
        <w:numFmt w:val="decimal"/>
        <w:numRestart w:val="continuous"/>
      </w:footnotePr>
      <w:type w:val="continuous"/>
      <w:pgSz w:w="11900" w:h="16840"/>
      <w:pgMar w:top="1110" w:right="545"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10005060</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2024-12602</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87.80000000000007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2024-12602</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2024-12602</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2024-12602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Другое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42424"/>
      <w:sz w:val="11"/>
      <w:szCs w:val="11"/>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54545"/>
      <w:sz w:val="12"/>
      <w:szCs w:val="12"/>
      <w:u w:val="none"/>
    </w:rPr>
  </w:style>
  <w:style w:type="character" w:customStyle="1" w:styleId="CharStyle33">
    <w:name w:val="Заголовок №1_"/>
    <w:basedOn w:val="DefaultParagraphFont"/>
    <w:link w:val="Style32"/>
    <w:rPr>
      <w:rFonts w:ascii="Times New Roman" w:eastAsia="Times New Roman" w:hAnsi="Times New Roman" w:cs="Times New Roman"/>
      <w:b/>
      <w:bCs/>
      <w:i w:val="0"/>
      <w:iCs w:val="0"/>
      <w:smallCaps w:val="0"/>
      <w:strike w:val="0"/>
      <w:sz w:val="26"/>
      <w:szCs w:val="26"/>
      <w:u w:val="none"/>
    </w:rPr>
  </w:style>
  <w:style w:type="paragraph" w:customStyle="1" w:styleId="Style2">
    <w:name w:val="Основной текст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Другое"/>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23">
    <w:name w:val="Основной текст (2)"/>
    <w:basedOn w:val="Normal"/>
    <w:link w:val="CharStyle24"/>
    <w:pPr>
      <w:widowControl w:val="0"/>
      <w:shd w:val="clear" w:color="auto" w:fill="auto"/>
    </w:pPr>
    <w:rPr>
      <w:rFonts w:ascii="Arial" w:eastAsia="Arial" w:hAnsi="Arial" w:cs="Arial"/>
      <w:b w:val="0"/>
      <w:bCs w:val="0"/>
      <w:i w:val="0"/>
      <w:iCs w:val="0"/>
      <w:smallCaps w:val="0"/>
      <w:strike w:val="0"/>
      <w:color w:val="454545"/>
      <w:sz w:val="12"/>
      <w:szCs w:val="12"/>
      <w:u w:val="none"/>
    </w:rPr>
  </w:style>
  <w:style w:type="paragraph" w:customStyle="1" w:styleId="Style32">
    <w:name w:val="Заголовок №1"/>
    <w:basedOn w:val="Normal"/>
    <w:link w:val="CharStyle33"/>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