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«Брокер Групп» ул. Пензенская, д. 57, кв. 2, г. Пермь, 614042 оооЛеп4ег.Ъгокег77@дтаП.сот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Администрация Туруханского района Красноярского края</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ул. Шадрина А.Е., д. 15, с. Туруханск, Красноярский край, 663230 а4т1г@Шгикап8к.ги</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Администрация Зотинского сельсовета Туруханского района Красноярского края ул. Рабочая, д. 30, с. Зотино, Туруханский район, Красноярский край, 663249 xо1:^по_8е18ОVе1:@Ък.^и</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252" w:bottom="1226" w:left="1140" w:header="0" w:footer="3" w:gutter="0"/>
          <w:pgNumType w:start="1"/>
          <w:cols w:num="2" w:space="1013"/>
          <w:noEndnote/>
          <w:titlePg/>
          <w:rtlGutter w:val="0"/>
          <w:docGrid w:linePitch="360"/>
        </w:sectPr>
      </w:pPr>
      <w:r>
        <w:rPr>
          <w:color w:val="000000"/>
          <w:spacing w:val="0"/>
          <w:w w:val="100"/>
          <w:position w:val="0"/>
          <w:shd w:val="clear" w:color="auto" w:fill="auto"/>
          <w:lang w:val="ru-RU" w:eastAsia="ru-RU" w:bidi="ru-RU"/>
        </w:rPr>
        <w:t>ООО «РТС-тендер» ко@г18-1еп4ег.ги</w:t>
      </w:r>
    </w:p>
    <w:p>
      <w:pPr>
        <w:widowControl w:val="0"/>
        <w:spacing w:before="95" w:after="9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7" w:right="0" w:bottom="1193"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№024/06/106-3227/2024</w:t>
      </w:r>
    </w:p>
    <w:p>
      <w:pPr>
        <w:pStyle w:val="Style13"/>
        <w:keepNext w:val="0"/>
        <w:keepLines w:val="0"/>
        <w:widowControl w:val="0"/>
        <w:shd w:val="clear" w:color="auto" w:fill="auto"/>
        <w:bidi w:val="0"/>
        <w:spacing w:before="0" w:after="260" w:line="240" w:lineRule="auto"/>
        <w:ind w:left="0" w:right="0" w:firstLine="600"/>
        <w:jc w:val="both"/>
      </w:pPr>
      <w:r>
        <mc:AlternateContent>
          <mc:Choice Requires="wps">
            <w:drawing>
              <wp:anchor distT="0" distB="0" distL="114300" distR="114300" simplePos="0" relativeHeight="125829378" behindDoc="0" locked="0" layoutInCell="1" allowOverlap="1">
                <wp:simplePos x="0" y="0"/>
                <wp:positionH relativeFrom="page">
                  <wp:posOffset>6207125</wp:posOffset>
                </wp:positionH>
                <wp:positionV relativeFrom="paragraph">
                  <wp:posOffset>12700</wp:posOffset>
                </wp:positionV>
                <wp:extent cx="987425" cy="234950"/>
                <wp:wrapSquare wrapText="left"/>
                <wp:docPr id="7" name="Shape 7"/>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88.75pt;margin-top:1.pt;width:77.75pt;height:18.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hd w:val="clear" w:color="auto" w:fill="auto"/>
          <w:lang w:val="ru-RU" w:eastAsia="ru-RU" w:bidi="ru-RU"/>
        </w:rPr>
        <w:t>22 октября 2024 года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Е.А. Шмыгина, врио начальника отдела; В.С. Гамазина, государственный инспектор (далее — Комиссия), рассмотрев жалобу ООО «Брокер групп» (далее - податель жалобы) на действия заказчика — Администрации Зотинского сельсовета Туруханского района Красноярского края (далее — заказчик), уполномоченного органа — Администрации Туруханского района Красноярского края (далее — уполномоченный орган), при определении поставщика (подрядчика, исполнителя) при проведении запроса котировок «Подключение к системе теплоснабжения и водоснабжения строящегося объекта «Врачебная амбулатория в с. Зотино Туруханского района (КГБУЗ «Туруханская РБ»)» с извещением № 0119300048424000150 (далее - запрос котировок), размещенного на электронной площадке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Существо жалобы: составление извещения о проведении запроса котировок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Жалоба подана в Красноярское УФАС России в срок, установленный частью 2 статьи</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IIIIIIIII1111111II111111</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адреса заказчика,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Рассмотрение обращения состоялось 22.10.2024 в 11 часов 30 минут. До начала заседания, в адрес Комиссии поступило ходатайство Заказчика о рассмотрении жалобы в его отсутствие. Ходатайство удовлетворено Комиссией. Податель жалобы, уполномоченный орган явку своих представителей на заседание Комиссии не обеспечили, будучи надлежащим образом, уведомленными о дате и времени рассмотрения обращения.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 доводов жалобы следует, что Заказчик, Уполномоченный орган нарушили Закон о контрактной системе, поскольку в извещении установили наличие членства в саморегулируемых организациях в области архитектурно-строительного проектирования, при том, что объектом закупки является «Подключение к системе теплоснабжения и водоснабжения строящегося объекта «Врачебная амбулатория в с. Зотино Туруханского района (КГБУЗ «Туруханская РБ»)».</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А также податель жалобы усматривает нарушение в требованиях к содержанию и составу заявки, поскольку Заказчик устанавливает требования по статье 14 Закона о контрактной системе, однако, по мнению подателя жалобы, данная норма устанавливается для поставки товаров.</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возникшей потребностью заказчиком были совершены действия по проведению запроса котировок на «Подключение к системе теплоснабжения и водоснабжения строящегося объекта «Врачебная амбулатория в с. Зотино Туруханского района (КГБУЗ «Туруханская РБ»)» с установлением начальной (максимальной) цены контракта в размере 5 409 059,00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установлено, что Заказчиком установлены единые требования к участникам закупок в соответствии с частью 1 статьи 31 Закона о контрактной системе, требования, предусмотренные частью 1.1. статьи 31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соответствие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соответствие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заказчик устанавливает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Частью 5 статьи 31 Закона о контрактной системе установлено, что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части 6 статьи 31 Закона о контрактной системе заказчики не вправе устанавливать требования к участникам закупок в нарушение требований данного закона.</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Проанализировав извещение Комиссией установлено, что Заказчиком установлено требование о наличии членства в саморегулируемых организациях в области архитектурно</w:t>
        <w:softHyphen/>
        <w:t>строительного проектирования. Уровень ответственности по компенсационному фонду возмещения вреда в области архитектурно-строительного проектирования участника закупки должен быть не ниже первого уровня ответственности члена саморегулируемой организации (ч. 10 ст. 55.16 Градостроительного кодекса РФ (далее — ГрК РФ). Уровень ответственности по компенсационному фонду обеспечения договорных обязательств в области архитектурно-строительного проектирования участника закупки, выразившего намерение принимать участие в заключении договоров подряда на подготовку проектной документации с использованием конкурентных способов заключения договоров должен быть не ниже первого уровня ответственности члена саморегулируемой организации (ч. 11 ст. 55.16 ГрК РФ). В случаях, предусмотренных ч. 4.1. ст. 48 ГрК РФ членство в саморегулируемых организациях не требуется. (Основание: ст. 48, ст. 55.17, ст. 55.8 ГрК РФ).</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частью 1 статьи 48 ГрК РФ архитектурно-строительное проектирование осуществляется путем подготовки проектной документации, рабочей документации (если иное не предусмотрено частью 1.4 настоящей статьи),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частью 4 статьи 48 ГрК РФ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Комиссией установлено, что объектом закупки в рассматриваемом случае является «Подключение к системе теплоснабжения и водоснабжения строящегося объекта «Врачебная амбулатория в с. Зотино Туруханского района (КГБУЗ «Туруханская РБ»)», данный объект не относится к деятельности по архитектурно-строительному проектированию, поскольку не включает в себя подготовку проектной документации и внесение в них изменений.</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своих пояснениях Заказчик согласен с доводом подателя жалобы о неправомерном установлении требования к СРО.</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Комиссией довод подателя жалобы признан обоснованным, поскольку установление требования к участнику закупки о членстве в СРО, в рассматриваемом случае неправомерно и нарушает положения пункта 1 части 1 статьи 31, пункта 12 части 1, пункта 3 части 2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Указанное нарушение содержит признаки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Относительно довода подателя жалобы о неправомерном установлении требований по статье 14 Закона о контрактной системе Комиссия Красноярского УФАС сообщает следующее.</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Проанализировав извещение о проведении закупки, Комиссия установила, что Заказчиком в извещении не было предусмотрено требование по статье 14 Закона о контрактной системе, однако в требованиях к содержанию, составу заявки на участие в закупке и инструкция по её заполнению, предусмотрены следующие требования:</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«Подробные указания к содержанию информации о характеристиках товара, включаемой в заявку участниками закупки при составлении заявки указаны в приложении.</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Однако, по мнению подателя жалобы, данные требования устанавливаются исключительно для поставки товаров, а в рассматриваемой закупке объектом выступает оказание услуг.</w:t>
      </w:r>
    </w:p>
    <w:p>
      <w:pPr>
        <w:pStyle w:val="Style1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пояснениям Заказчика Приложение 3 к документации «Требования к </w:t>
      </w:r>
      <w:r>
        <w:rPr>
          <w:color w:val="000000"/>
          <w:spacing w:val="0"/>
          <w:w w:val="100"/>
          <w:position w:val="0"/>
          <w:shd w:val="clear" w:color="auto" w:fill="auto"/>
          <w:lang w:val="ru-RU" w:eastAsia="ru-RU" w:bidi="ru-RU"/>
        </w:rPr>
        <w:t>содержанию, составу заявки на участие в закупке и инструкция по её заполнению» является типовым, и распространяется и на работы, и на товары, и на услуги.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проанализировав данное приложение Комиссия Красноярского УФАС России приходит к выводу, что установленные требования к содержанию, составу заявки на участие в закупке и инструкция по её заполнению не являются альтернативными и не конкретизируются, поэтому Комиссия приходит к выводу о том, что данные требования, исходя из формулировок, примененных Заказчиком, распространяются и на рассматриваемую закупку.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Комиссией довод подателя жалобы признан обоснованным, поскольку требования к содержанию, составу заявки предусмотренные, в рассматриваемом случае установлены неправомерно и нарушают положения пункта 3 части 2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Указанное нарушение содержит признаки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существа жалобы и проведения внеплановой проверки, руководствуясь частями 3, 15,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Красноярского УФАС России приняла решение:</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жалобу ООО «Брокер групп» обоснованной.</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нарушившим требования пункта 1 части 1 статьи 31, пункта 12 части 1, пункта 3 части 2 статьи 42 Закона о контрактной системе.</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уполномоченному органу предписание об устранении нарушений требований законодательства о контрактной системе прав и законных интересов участников закупки путем внесения изменений в извещение о проведении запроса котировок.</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Комиссии по осуществлению закупок, заказчику, уполномоченному органу, оператору электронной площадки отменить все протоколы, составленные в ходе проведения запроса котировок.</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Продлить срок подачи заявок на участие в запросе котировок не менее чем на 3 дня.</w:t>
      </w:r>
    </w:p>
    <w:p>
      <w:pPr>
        <w:pStyle w:val="Style13"/>
        <w:keepNext w:val="0"/>
        <w:keepLines w:val="0"/>
        <w:widowControl w:val="0"/>
        <w:numPr>
          <w:ilvl w:val="0"/>
          <w:numId w:val="1"/>
        </w:numPr>
        <w:shd w:val="clear" w:color="auto" w:fill="auto"/>
        <w:tabs>
          <w:tab w:pos="11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по жалобе и проведенной внеплановой проверке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10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370" w:val="left"/>
        </w:tabs>
        <w:bidi w:val="0"/>
        <w:spacing w:before="0" w:after="560" w:line="240" w:lineRule="auto"/>
        <w:ind w:left="0" w:right="0" w:firstLine="640"/>
        <w:jc w:val="both"/>
      </w:pPr>
      <w:r>
        <w:rPr>
          <w:color w:val="000000"/>
          <w:spacing w:val="0"/>
          <w:w w:val="100"/>
          <w:position w:val="0"/>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370" w:val="left"/>
        </w:tabs>
        <w:bidi w:val="0"/>
        <w:spacing w:before="0" w:after="560" w:line="240" w:lineRule="auto"/>
        <w:ind w:left="0" w:right="0" w:firstLine="640"/>
        <w:jc w:val="both"/>
      </w:pPr>
      <w:r>
        <w:rPr>
          <w:color w:val="000000"/>
          <w:spacing w:val="0"/>
          <w:w w:val="100"/>
          <w:position w:val="0"/>
          <w:shd w:val="clear" w:color="auto" w:fill="auto"/>
          <w:lang w:val="ru-RU" w:eastAsia="ru-RU" w:bidi="ru-RU"/>
        </w:rPr>
        <w:t>Члены Комиссии</w:t>
        <w:tab/>
        <w:t>Е.А. Шмыгина</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В.С. Гамазина</w:t>
      </w:r>
    </w:p>
    <w:p>
      <w:pPr>
        <w:pStyle w:val="Style8"/>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Исп.Гамазина В.С. тел. 211-01-44</w:t>
      </w:r>
    </w:p>
    <w:sectPr>
      <w:footnotePr>
        <w:pos w:val="pageBottom"/>
        <w:numFmt w:val="decimal"/>
        <w:numRestart w:val="continuous"/>
      </w:footnotePr>
      <w:type w:val="continuous"/>
      <w:pgSz w:w="11900" w:h="16840"/>
      <w:pgMar w:top="317" w:right="538" w:bottom="1193"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10037445</wp:posOffset>
              </wp:positionV>
              <wp:extent cx="3267710" cy="103505"/>
              <wp:wrapNone/>
              <wp:docPr id="3" name="Shape 3"/>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2024-18050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90.35000000000002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2024-18050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2024-18050</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2024-18050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2"/>
      <w:szCs w:val="4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