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Республике Хакасия</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r>
    </w:p>
    <w:p>
      <w:pPr>
        <w:pStyle w:val="Style5"/>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е-таП: 1о19@Га8.$»оу.ги</w:t>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25.10.2024</w:t>
      </w:r>
      <w:r>
        <w:rPr>
          <w:color w:val="000000"/>
          <w:spacing w:val="0"/>
          <w:w w:val="100"/>
          <w:position w:val="0"/>
          <w:u w:val="none"/>
          <w:shd w:val="clear" w:color="auto" w:fill="auto"/>
          <w:lang w:val="ru-RU" w:eastAsia="ru-RU" w:bidi="ru-RU"/>
        </w:rPr>
        <w:tab/>
        <w:t>№</w:t>
      </w:r>
      <w:r>
        <w:rPr>
          <w:color w:val="000000"/>
          <w:spacing w:val="0"/>
          <w:w w:val="100"/>
          <w:position w:val="0"/>
          <w:shd w:val="clear" w:color="auto" w:fill="auto"/>
          <w:lang w:val="ru-RU" w:eastAsia="ru-RU" w:bidi="ru-RU"/>
        </w:rPr>
        <w:t xml:space="preserve"> КЛ/9635/24</w:t>
      </w:r>
      <w:bookmarkEnd w:id="0"/>
    </w:p>
    <w:p>
      <w:pPr>
        <w:pStyle w:val="Style8"/>
        <w:keepNext w:val="0"/>
        <w:keepLines w:val="0"/>
        <w:widowControl w:val="0"/>
        <w:shd w:val="clear" w:color="auto" w:fill="auto"/>
        <w:bidi w:val="0"/>
        <w:spacing w:before="0" w:after="64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результатам рассмотрения жалобы №019/06/106- 1520/2024 (ИП Немирович Т.Ю.)</w:t>
      </w:r>
    </w:p>
    <w:p>
      <w:pPr>
        <w:pStyle w:val="Style14"/>
        <w:keepNext w:val="0"/>
        <w:keepLines w:val="0"/>
        <w:widowControl w:val="0"/>
        <w:shd w:val="clear" w:color="auto" w:fill="auto"/>
        <w:bidi w:val="0"/>
        <w:spacing w:before="0" w:after="600" w:line="259" w:lineRule="auto"/>
        <w:ind w:left="0" w:right="0" w:firstLine="0"/>
        <w:jc w:val="left"/>
        <w:rPr>
          <w:sz w:val="24"/>
          <w:szCs w:val="24"/>
        </w:rPr>
      </w:pPr>
      <w:r>
        <w:rPr>
          <w:color w:val="000000"/>
          <w:spacing w:val="0"/>
          <w:w w:val="100"/>
          <w:position w:val="0"/>
          <w:sz w:val="24"/>
          <w:szCs w:val="24"/>
          <w:shd w:val="clear" w:color="auto" w:fill="auto"/>
          <w:lang w:val="ru-RU" w:eastAsia="ru-RU" w:bidi="ru-RU"/>
        </w:rPr>
        <w:t>Заявителю - ИП Немирович Т.Ю.</w:t>
      </w:r>
    </w:p>
    <w:p>
      <w:pPr>
        <w:pStyle w:val="Style14"/>
        <w:keepNext w:val="0"/>
        <w:keepLines w:val="0"/>
        <w:widowControl w:val="0"/>
        <w:shd w:val="clear" w:color="auto" w:fill="auto"/>
        <w:bidi w:val="0"/>
        <w:spacing w:before="0" w:after="0" w:line="259"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Субъектам контроля:</w:t>
      </w:r>
    </w:p>
    <w:p>
      <w:pPr>
        <w:pStyle w:val="Style14"/>
        <w:keepNext w:val="0"/>
        <w:keepLines w:val="0"/>
        <w:widowControl w:val="0"/>
        <w:shd w:val="clear" w:color="auto" w:fill="auto"/>
        <w:bidi w:val="0"/>
        <w:spacing w:before="0" w:after="600" w:line="259" w:lineRule="auto"/>
        <w:ind w:left="0" w:right="0" w:firstLine="0"/>
        <w:jc w:val="left"/>
        <w:rPr>
          <w:sz w:val="24"/>
          <w:szCs w:val="24"/>
        </w:rPr>
      </w:pPr>
      <w:r>
        <w:rPr>
          <w:color w:val="000000"/>
          <w:spacing w:val="0"/>
          <w:w w:val="100"/>
          <w:position w:val="0"/>
          <w:sz w:val="24"/>
          <w:szCs w:val="24"/>
          <w:shd w:val="clear" w:color="auto" w:fill="auto"/>
          <w:lang w:val="ru-RU" w:eastAsia="ru-RU" w:bidi="ru-RU"/>
        </w:rPr>
        <w:t>Уполномоченному органу - Государственному комитету по регулированию контрактной системы в сфере закупок Республики Хакасия и его комиссии</w:t>
      </w:r>
    </w:p>
    <w:p>
      <w:pPr>
        <w:pStyle w:val="Style14"/>
        <w:keepNext w:val="0"/>
        <w:keepLines w:val="0"/>
        <w:widowControl w:val="0"/>
        <w:shd w:val="clear" w:color="auto" w:fill="auto"/>
        <w:bidi w:val="0"/>
        <w:spacing w:before="0" w:after="0" w:line="259" w:lineRule="auto"/>
        <w:ind w:left="0" w:right="0" w:firstLine="0"/>
        <w:jc w:val="left"/>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709" w:bottom="1198" w:left="1140" w:header="0" w:footer="3" w:gutter="0"/>
          <w:pgNumType w:start="1"/>
          <w:cols w:num="2" w:space="720" w:equalWidth="0">
            <w:col w:w="4195" w:space="1066"/>
            <w:col w:w="4790"/>
          </w:cols>
          <w:noEndnote/>
          <w:titlePg/>
          <w:rtlGutter w:val="0"/>
          <w:docGrid w:linePitch="360"/>
        </w:sectPr>
      </w:pPr>
      <w:r>
        <w:rPr>
          <w:color w:val="000000"/>
          <w:spacing w:val="0"/>
          <w:w w:val="100"/>
          <w:position w:val="0"/>
          <w:sz w:val="24"/>
          <w:szCs w:val="24"/>
          <w:shd w:val="clear" w:color="auto" w:fill="auto"/>
          <w:lang w:val="ru-RU" w:eastAsia="ru-RU" w:bidi="ru-RU"/>
        </w:rPr>
        <w:t>Государственному заказчику - Государственному бюджетному учреждению здравоохранения Республики Хакасия «Республиканская клиническая стоматологическая поликлиника»</w:t>
      </w: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29" w:right="0" w:bottom="753" w:left="0" w:header="0" w:footer="3" w:gutter="0"/>
          <w:cols w:space="720"/>
          <w:noEndnote/>
          <w:rtlGutter w:val="0"/>
          <w:docGrid w:linePitch="360"/>
        </w:sectPr>
      </w:pPr>
    </w:p>
    <w:p>
      <w:pPr>
        <w:pStyle w:val="Style14"/>
        <w:keepNext w:val="0"/>
        <w:keepLines w:val="0"/>
        <w:widowControl w:val="0"/>
        <w:shd w:val="clear" w:color="auto" w:fill="auto"/>
        <w:bidi w:val="0"/>
        <w:spacing w:before="0" w:after="660" w:line="221" w:lineRule="auto"/>
        <w:ind w:left="5320" w:right="0" w:firstLine="0"/>
        <w:jc w:val="left"/>
        <w:rPr>
          <w:sz w:val="24"/>
          <w:szCs w:val="24"/>
        </w:rPr>
      </w:pPr>
      <w:r>
        <w:rPr>
          <w:color w:val="000000"/>
          <w:spacing w:val="0"/>
          <w:w w:val="100"/>
          <w:position w:val="0"/>
          <w:sz w:val="24"/>
          <w:szCs w:val="24"/>
          <w:shd w:val="clear" w:color="auto" w:fill="auto"/>
          <w:lang w:val="ru-RU" w:eastAsia="ru-RU" w:bidi="ru-RU"/>
        </w:rPr>
        <w:t>Оператору электронной площадки - АП //Т’АК' ТОРТХ»</w:t>
      </w:r>
    </w:p>
    <w:p>
      <w:pPr>
        <w:pStyle w:val="Style14"/>
        <w:keepNext w:val="0"/>
        <w:keepLines w:val="0"/>
        <w:widowControl w:val="0"/>
        <w:shd w:val="clear" w:color="auto" w:fill="auto"/>
        <w:bidi w:val="0"/>
        <w:spacing w:before="0" w:after="720" w:line="240" w:lineRule="auto"/>
        <w:ind w:left="5320" w:right="0" w:firstLine="0"/>
        <w:jc w:val="left"/>
        <w:rPr>
          <w:sz w:val="24"/>
          <w:szCs w:val="24"/>
        </w:rPr>
      </w:pPr>
      <w:r>
        <w:rPr>
          <w:color w:val="000000"/>
          <w:spacing w:val="0"/>
          <w:w w:val="100"/>
          <w:position w:val="0"/>
          <w:sz w:val="24"/>
          <w:szCs w:val="24"/>
          <w:shd w:val="clear" w:color="auto" w:fill="auto"/>
          <w:lang w:val="ru-RU" w:eastAsia="ru-RU" w:bidi="ru-RU"/>
        </w:rPr>
        <w:t xml:space="preserve">Извещение № </w:t>
      </w:r>
      <w:r>
        <w:rPr>
          <w:color w:val="050182"/>
          <w:spacing w:val="0"/>
          <w:w w:val="100"/>
          <w:position w:val="0"/>
          <w:sz w:val="24"/>
          <w:szCs w:val="24"/>
          <w:u w:val="single"/>
          <w:shd w:val="clear" w:color="auto" w:fill="auto"/>
          <w:lang w:val="ru-RU" w:eastAsia="ru-RU" w:bidi="ru-RU"/>
        </w:rPr>
        <w:t>0380200000124006072</w:t>
      </w:r>
    </w:p>
    <w:p>
      <w:pPr>
        <w:pStyle w:val="Style14"/>
        <w:keepNext w:val="0"/>
        <w:keepLines w:val="0"/>
        <w:widowControl w:val="0"/>
        <w:shd w:val="clear" w:color="auto" w:fill="auto"/>
        <w:tabs>
          <w:tab w:pos="8846" w:val="left"/>
        </w:tabs>
        <w:bidi w:val="0"/>
        <w:spacing w:before="0" w:after="360"/>
        <w:ind w:left="0" w:right="0" w:firstLine="0"/>
        <w:jc w:val="center"/>
      </w:pPr>
      <w:r>
        <w:rPr>
          <w:b/>
          <w:bCs/>
          <w:color w:val="000000"/>
          <w:spacing w:val="0"/>
          <w:w w:val="100"/>
          <w:position w:val="0"/>
          <w:shd w:val="clear" w:color="auto" w:fill="auto"/>
          <w:lang w:val="ru-RU" w:eastAsia="ru-RU" w:bidi="ru-RU"/>
        </w:rPr>
        <w:t>РЕШЕНИЕ</w:t>
        <w:br/>
        <w:t>по жалобе № 019/06/106-1520/2024</w:t>
        <w:br/>
      </w:r>
      <w:r>
        <w:rPr>
          <w:color w:val="000000"/>
          <w:spacing w:val="0"/>
          <w:w w:val="100"/>
          <w:position w:val="0"/>
          <w:shd w:val="clear" w:color="auto" w:fill="auto"/>
          <w:lang w:val="ru-RU" w:eastAsia="ru-RU" w:bidi="ru-RU"/>
        </w:rPr>
        <w:t>«22» октября 2024 года</w:t>
        <w:tab/>
        <w:t>г. Абакан</w:t>
      </w: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1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Хакасия по контролю закупок в составе (далее - Комиссия):</w:t>
      </w:r>
    </w:p>
    <w:p>
      <w:pPr>
        <w:pStyle w:val="Style14"/>
        <w:keepNext w:val="0"/>
        <w:keepLines w:val="0"/>
        <w:widowControl w:val="0"/>
        <w:shd w:val="clear" w:color="auto" w:fill="auto"/>
        <w:tabs>
          <w:tab w:pos="5986" w:val="left"/>
        </w:tabs>
        <w:bidi w:val="0"/>
        <w:spacing w:before="0" w:after="0" w:line="240" w:lineRule="auto"/>
        <w:ind w:left="0" w:right="0" w:firstLine="160"/>
        <w:jc w:val="both"/>
      </w:pPr>
      <w:r>
        <w:rPr>
          <w:color w:val="000000"/>
          <w:spacing w:val="0"/>
          <w:w w:val="100"/>
          <w:position w:val="0"/>
          <w:shd w:val="clear" w:color="auto" w:fill="auto"/>
          <w:lang w:val="ru-RU" w:eastAsia="ru-RU" w:bidi="ru-RU"/>
        </w:rPr>
        <w:t>Ведущего заседание комиссии</w:t>
        <w:tab/>
        <w:t>руководителя управления;</w:t>
      </w:r>
    </w:p>
    <w:p>
      <w:pPr>
        <w:pStyle w:val="Style14"/>
        <w:keepNext w:val="0"/>
        <w:keepLines w:val="0"/>
        <w:widowControl w:val="0"/>
        <w:shd w:val="clear" w:color="auto" w:fill="auto"/>
        <w:tabs>
          <w:tab w:pos="5986" w:val="left"/>
        </w:tabs>
        <w:bidi w:val="0"/>
        <w:spacing w:before="0" w:after="0"/>
        <w:ind w:left="0" w:right="0" w:firstLine="0"/>
        <w:jc w:val="center"/>
      </w:pPr>
      <w:r>
        <w:rPr>
          <w:color w:val="000000"/>
          <w:spacing w:val="0"/>
          <w:w w:val="100"/>
          <w:position w:val="0"/>
          <w:shd w:val="clear" w:color="auto" w:fill="auto"/>
          <w:lang w:val="ru-RU" w:eastAsia="ru-RU" w:bidi="ru-RU"/>
        </w:rPr>
        <w:t>Членов комиссии:</w:t>
        <w:tab/>
        <w:t>начальника отдела контроля</w:t>
      </w:r>
    </w:p>
    <w:p>
      <w:pPr>
        <w:pStyle w:val="Style14"/>
        <w:keepNext w:val="0"/>
        <w:keepLines w:val="0"/>
        <w:widowControl w:val="0"/>
        <w:shd w:val="clear" w:color="auto" w:fill="auto"/>
        <w:bidi w:val="0"/>
        <w:spacing w:before="0" w:after="0"/>
        <w:ind w:left="4140" w:right="0" w:firstLine="0"/>
        <w:jc w:val="both"/>
      </w:pPr>
      <w:r>
        <w:rPr>
          <w:color w:val="000000"/>
          <w:spacing w:val="0"/>
          <w:w w:val="100"/>
          <w:position w:val="0"/>
          <w:shd w:val="clear" w:color="auto" w:fill="auto"/>
          <w:lang w:val="ru-RU" w:eastAsia="ru-RU" w:bidi="ru-RU"/>
        </w:rPr>
        <w:t>закупок и антимонопольного контроля органов власти; , ведущего специалиста-эксперта отдела антимонопольного законодательства и рекламы;</w:t>
      </w:r>
    </w:p>
    <w:p>
      <w:pPr>
        <w:pStyle w:val="Style14"/>
        <w:keepNext w:val="0"/>
        <w:keepLines w:val="0"/>
        <w:widowControl w:val="0"/>
        <w:shd w:val="clear" w:color="auto" w:fill="auto"/>
        <w:bidi w:val="0"/>
        <w:spacing w:before="0" w:after="240"/>
        <w:ind w:left="0" w:right="0" w:firstLine="580"/>
        <w:jc w:val="both"/>
      </w:pPr>
      <w:r>
        <w:rPr>
          <w:i/>
          <w:iCs/>
          <w:color w:val="000000"/>
          <w:spacing w:val="0"/>
          <w:w w:val="100"/>
          <w:position w:val="0"/>
          <w:shd w:val="clear" w:color="auto" w:fill="auto"/>
          <w:lang w:val="ru-RU" w:eastAsia="ru-RU" w:bidi="ru-RU"/>
        </w:rPr>
        <w:t xml:space="preserve">при участии Заявителя </w:t>
      </w:r>
      <w:r>
        <w:rPr>
          <w:color w:val="000000"/>
          <w:spacing w:val="0"/>
          <w:w w:val="100"/>
          <w:position w:val="0"/>
          <w:shd w:val="clear" w:color="auto" w:fill="auto"/>
          <w:lang w:val="ru-RU" w:eastAsia="ru-RU" w:bidi="ru-RU"/>
        </w:rPr>
        <w:t xml:space="preserve">— Индивидуального предпринимателя Немирович Татьяны Юрьевны (далее - ИП Немирович Т.Ю., Заявитель, Предприниматель) и </w:t>
      </w:r>
      <w:r>
        <w:rPr>
          <w:i/>
          <w:iCs/>
          <w:color w:val="000000"/>
          <w:spacing w:val="0"/>
          <w:w w:val="100"/>
          <w:position w:val="0"/>
          <w:shd w:val="clear" w:color="auto" w:fill="auto"/>
          <w:lang w:val="ru-RU" w:eastAsia="ru-RU" w:bidi="ru-RU"/>
        </w:rPr>
        <w:t>представителей:</w:t>
      </w:r>
    </w:p>
    <w:p>
      <w:pPr>
        <w:pStyle w:val="Style21"/>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4"/>
        <w:keepNext w:val="0"/>
        <w:keepLines w:val="0"/>
        <w:widowControl w:val="0"/>
        <w:shd w:val="clear" w:color="auto" w:fill="auto"/>
        <w:bidi w:val="0"/>
        <w:spacing w:before="0" w:after="0" w:line="295" w:lineRule="auto"/>
        <w:ind w:left="0" w:right="0" w:firstLine="560"/>
        <w:jc w:val="both"/>
      </w:pPr>
      <w:r>
        <w:rPr>
          <w:i/>
          <w:iCs/>
          <w:color w:val="000000"/>
          <w:spacing w:val="0"/>
          <w:w w:val="100"/>
          <w:position w:val="0"/>
          <w:shd w:val="clear" w:color="auto" w:fill="auto"/>
          <w:lang w:val="ru-RU" w:eastAsia="ru-RU" w:bidi="ru-RU"/>
        </w:rPr>
        <w:t>государственного заказчика</w:t>
      </w:r>
      <w:r>
        <w:rPr>
          <w:color w:val="000000"/>
          <w:spacing w:val="0"/>
          <w:w w:val="100"/>
          <w:position w:val="0"/>
          <w:shd w:val="clear" w:color="auto" w:fill="auto"/>
          <w:lang w:val="ru-RU" w:eastAsia="ru-RU" w:bidi="ru-RU"/>
        </w:rPr>
        <w:t xml:space="preserve"> - Государственного бюджетного учреждения здравоохранения Республики Хакасия «Республиканская клиническая стоматологическая поликлиника» (далее — ГБУЗ РХ «РКСП», Заказчик):</w:t>
      </w:r>
    </w:p>
    <w:p>
      <w:pPr>
        <w:pStyle w:val="Style14"/>
        <w:keepNext w:val="0"/>
        <w:keepLines w:val="0"/>
        <w:widowControl w:val="0"/>
        <w:shd w:val="clear" w:color="auto" w:fill="auto"/>
        <w:bidi w:val="0"/>
        <w:spacing w:before="0" w:after="0" w:line="295" w:lineRule="auto"/>
        <w:ind w:left="4140" w:right="0" w:firstLine="0"/>
        <w:jc w:val="both"/>
      </w:pPr>
      <w:r>
        <w:rPr>
          <w:color w:val="000000"/>
          <w:spacing w:val="0"/>
          <w:w w:val="100"/>
          <w:position w:val="0"/>
          <w:shd w:val="clear" w:color="auto" w:fill="auto"/>
          <w:lang w:val="ru-RU" w:eastAsia="ru-RU" w:bidi="ru-RU"/>
        </w:rPr>
        <w:t>на основании доверенности №б/н от 18.10.2024,</w:t>
      </w:r>
    </w:p>
    <w:p>
      <w:pPr>
        <w:pStyle w:val="Style14"/>
        <w:keepNext w:val="0"/>
        <w:keepLines w:val="0"/>
        <w:widowControl w:val="0"/>
        <w:shd w:val="clear" w:color="auto" w:fill="auto"/>
        <w:bidi w:val="0"/>
        <w:spacing w:before="0" w:after="0" w:line="295" w:lineRule="auto"/>
        <w:ind w:left="0" w:right="0" w:firstLine="5440"/>
        <w:jc w:val="both"/>
      </w:pPr>
      <w:r>
        <w:rPr>
          <w:color w:val="000000"/>
          <w:spacing w:val="0"/>
          <w:w w:val="100"/>
          <w:position w:val="0"/>
          <w:shd w:val="clear" w:color="auto" w:fill="auto"/>
          <w:lang w:val="ru-RU" w:eastAsia="ru-RU" w:bidi="ru-RU"/>
        </w:rPr>
        <w:t>на основании доверенности №б/н от 04.01.2024,</w:t>
      </w:r>
    </w:p>
    <w:p>
      <w:pPr>
        <w:pStyle w:val="Style14"/>
        <w:keepNext w:val="0"/>
        <w:keepLines w:val="0"/>
        <w:widowControl w:val="0"/>
        <w:shd w:val="clear" w:color="auto" w:fill="auto"/>
        <w:bidi w:val="0"/>
        <w:spacing w:before="0" w:after="0" w:line="295" w:lineRule="auto"/>
        <w:ind w:left="0" w:right="0" w:firstLine="560"/>
        <w:jc w:val="both"/>
      </w:pPr>
      <w:r>
        <w:rPr>
          <w:i/>
          <w:i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14"/>
        <w:keepNext w:val="0"/>
        <w:keepLines w:val="0"/>
        <w:widowControl w:val="0"/>
        <w:shd w:val="clear" w:color="auto" w:fill="auto"/>
        <w:bidi w:val="0"/>
        <w:spacing w:before="0" w:after="0" w:line="295" w:lineRule="auto"/>
        <w:ind w:left="0" w:right="0" w:firstLine="5080"/>
        <w:jc w:val="both"/>
      </w:pPr>
      <w:r>
        <w:rPr>
          <w:color w:val="000000"/>
          <w:spacing w:val="0"/>
          <w:w w:val="100"/>
          <w:position w:val="0"/>
          <w:shd w:val="clear" w:color="auto" w:fill="auto"/>
          <w:lang w:val="ru-RU" w:eastAsia="ru-RU" w:bidi="ru-RU"/>
        </w:rPr>
        <w:t>на основании доверенности от 23.01.2024 №5,</w:t>
      </w:r>
    </w:p>
    <w:p>
      <w:pPr>
        <w:pStyle w:val="Style14"/>
        <w:keepNext w:val="0"/>
        <w:keepLines w:val="0"/>
        <w:widowControl w:val="0"/>
        <w:shd w:val="clear" w:color="auto" w:fill="auto"/>
        <w:bidi w:val="0"/>
        <w:spacing w:before="0" w:after="360" w:line="295" w:lineRule="auto"/>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ИП Немирович Т.Ю. на действия субъектов контроля при проведении электронного аукциона на поставку приспособлений и расходных материалов для стоматологии (извещение № 0380200000124006072)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val="0"/>
        <w:keepLines w:val="0"/>
        <w:widowControl w:val="0"/>
        <w:shd w:val="clear" w:color="auto" w:fill="auto"/>
        <w:bidi w:val="0"/>
        <w:spacing w:before="0" w:after="360" w:line="295"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посредством ЕИС 16.10.2024 поступила жалоба Заявителя на действия комиссии по осуществлению закупок при проведении Аукциона.</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комиссии по осуществлению закупок, которая неправомерно отклонила заявку Заявителя на участие в Аукционе на основании непредставления информации и документов, предусмотренных извещением о закупке.</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От Заказчика (вх. № 11068-ЭП/24 от 21.10.2024) в материалы дела поступили запрашиваемые документы и письменные пояснения.</w:t>
      </w:r>
    </w:p>
    <w:p>
      <w:pPr>
        <w:pStyle w:val="Style14"/>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рассмотрении ИП Немирович Т.Ю. озвучила доводы, изложенные в жалобе, и просила признать ее обоснованной. Представители Заказчика и Уполномоченного органа указали, что считают жалобу ИП Немирович Т.Ю. необоснованной, при этом отметив, что при проведении Аукциона комиссия Заказчика действовала в соответствии с Законом о контрактной системе.</w:t>
      </w:r>
    </w:p>
    <w:p>
      <w:pPr>
        <w:pStyle w:val="Style14"/>
        <w:keepNext w:val="0"/>
        <w:keepLines w:val="0"/>
        <w:widowControl w:val="0"/>
        <w:shd w:val="clear" w:color="auto" w:fill="auto"/>
        <w:bidi w:val="0"/>
        <w:spacing w:before="0" w:after="36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электронными документами к нему, протоколами, составленными при определении поставщика (подрядчика, исполнителя):</w:t>
      </w:r>
    </w:p>
    <w:p>
      <w:pPr>
        <w:pStyle w:val="Style14"/>
        <w:keepNext w:val="0"/>
        <w:keepLines w:val="0"/>
        <w:widowControl w:val="0"/>
        <w:numPr>
          <w:ilvl w:val="0"/>
          <w:numId w:val="1"/>
        </w:numPr>
        <w:shd w:val="clear" w:color="auto" w:fill="auto"/>
        <w:tabs>
          <w:tab w:pos="907"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ЕИС — 01.10.2024;</w:t>
      </w:r>
    </w:p>
    <w:p>
      <w:pPr>
        <w:pStyle w:val="Style14"/>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329 280,30 рублей;</w:t>
      </w:r>
    </w:p>
    <w:p>
      <w:pPr>
        <w:pStyle w:val="Style14"/>
        <w:keepNext w:val="0"/>
        <w:keepLines w:val="0"/>
        <w:widowControl w:val="0"/>
        <w:numPr>
          <w:ilvl w:val="0"/>
          <w:numId w:val="1"/>
        </w:numPr>
        <w:shd w:val="clear" w:color="auto" w:fill="auto"/>
        <w:tabs>
          <w:tab w:pos="938"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 в электронной форме;</w:t>
      </w:r>
    </w:p>
    <w:p>
      <w:pPr>
        <w:pStyle w:val="Style14"/>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01.10.2024 09:52;</w:t>
      </w:r>
    </w:p>
    <w:p>
      <w:pPr>
        <w:pStyle w:val="Style14"/>
        <w:keepNext w:val="0"/>
        <w:keepLines w:val="0"/>
        <w:widowControl w:val="0"/>
        <w:numPr>
          <w:ilvl w:val="0"/>
          <w:numId w:val="1"/>
        </w:numPr>
        <w:shd w:val="clear" w:color="auto" w:fill="auto"/>
        <w:tabs>
          <w:tab w:pos="933" w:val="left"/>
        </w:tabs>
        <w:bidi w:val="0"/>
        <w:spacing w:before="0" w:after="0"/>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09.10.2024;</w:t>
      </w:r>
    </w:p>
    <w:p>
      <w:pPr>
        <w:pStyle w:val="Style14"/>
        <w:keepNext w:val="0"/>
        <w:keepLines w:val="0"/>
        <w:widowControl w:val="0"/>
        <w:numPr>
          <w:ilvl w:val="0"/>
          <w:numId w:val="1"/>
        </w:numPr>
        <w:shd w:val="clear" w:color="auto" w:fill="auto"/>
        <w:tabs>
          <w:tab w:pos="914"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11.10.2024;</w:t>
      </w:r>
    </w:p>
    <w:p>
      <w:pPr>
        <w:pStyle w:val="Style14"/>
        <w:keepNext w:val="0"/>
        <w:keepLines w:val="0"/>
        <w:widowControl w:val="0"/>
        <w:numPr>
          <w:ilvl w:val="0"/>
          <w:numId w:val="1"/>
        </w:numPr>
        <w:shd w:val="clear" w:color="auto" w:fill="auto"/>
        <w:tabs>
          <w:tab w:pos="943" w:val="left"/>
        </w:tabs>
        <w:bidi w:val="0"/>
        <w:spacing w:before="0" w:after="0"/>
        <w:ind w:left="0" w:right="0" w:firstLine="560"/>
        <w:jc w:val="both"/>
      </w:pPr>
      <w:r>
        <w:rPr>
          <w:color w:val="000000"/>
          <w:spacing w:val="0"/>
          <w:w w:val="100"/>
          <w:position w:val="0"/>
          <w:shd w:val="clear" w:color="auto" w:fill="auto"/>
          <w:lang w:val="ru-RU" w:eastAsia="ru-RU" w:bidi="ru-RU"/>
        </w:rPr>
        <w:t>в соответствии с Протоколом подачи ценовых предложений от 09.10.2024 №ЦПА1 ценовые предложения подали 3 (три) участника, лучшее ценовое предложение поступило от участника с идентификационным номером заявки 2 (Заявитель) и составило 327 633,90 руб. (снижение 0,5% от НМЦК);</w:t>
      </w:r>
    </w:p>
    <w:p>
      <w:pPr>
        <w:pStyle w:val="Style14"/>
        <w:keepNext w:val="0"/>
        <w:keepLines w:val="0"/>
        <w:widowControl w:val="0"/>
        <w:numPr>
          <w:ilvl w:val="0"/>
          <w:numId w:val="1"/>
        </w:numPr>
        <w:shd w:val="clear" w:color="auto" w:fill="auto"/>
        <w:tabs>
          <w:tab w:pos="1118"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11.10.2024 №ИЭА1:</w:t>
      </w:r>
    </w:p>
    <w:p>
      <w:pPr>
        <w:pStyle w:val="Style14"/>
        <w:keepNext w:val="0"/>
        <w:keepLines w:val="0"/>
        <w:widowControl w:val="0"/>
        <w:numPr>
          <w:ilvl w:val="0"/>
          <w:numId w:val="3"/>
        </w:numPr>
        <w:shd w:val="clear" w:color="auto" w:fill="auto"/>
        <w:tabs>
          <w:tab w:pos="850" w:val="left"/>
        </w:tabs>
        <w:bidi w:val="0"/>
        <w:spacing w:before="0" w:after="0"/>
        <w:ind w:left="0" w:right="0" w:firstLine="560"/>
        <w:jc w:val="both"/>
      </w:pPr>
      <w:r>
        <w:rPr>
          <w:color w:val="000000"/>
          <w:spacing w:val="0"/>
          <w:w w:val="100"/>
          <w:position w:val="0"/>
          <w:shd w:val="clear" w:color="auto" w:fill="auto"/>
          <w:lang w:val="ru-RU" w:eastAsia="ru-RU" w:bidi="ru-RU"/>
        </w:rPr>
        <w:t>заявка с идентификационным номером 2 (Заявитель) отклонена на основании пункта 1 части 12 статьи 48 Закона о контрактной системе, поскольку в нарушение пи. «в» и.2 ч.1 ст. 43 Закона о контрактной системе заявка участника не содержит документы, подтверждающие соответствие товара требованиям, установленным в соответствии с законодательством Российской Федерации и предоставление которых предусмотрено п.З ч.2 Требований к содержанию, составу заявки на участие в закупке (отсутствует регистрационное удостоверение на товар, предложенный в заявке по всем позициям),</w:t>
      </w:r>
    </w:p>
    <w:p>
      <w:pPr>
        <w:pStyle w:val="Style14"/>
        <w:keepNext w:val="0"/>
        <w:keepLines w:val="0"/>
        <w:widowControl w:val="0"/>
        <w:numPr>
          <w:ilvl w:val="0"/>
          <w:numId w:val="3"/>
        </w:numPr>
        <w:shd w:val="clear" w:color="auto" w:fill="auto"/>
        <w:tabs>
          <w:tab w:pos="850" w:val="left"/>
        </w:tabs>
        <w:bidi w:val="0"/>
        <w:spacing w:before="0" w:after="0"/>
        <w:ind w:left="0" w:right="0" w:firstLine="560"/>
        <w:jc w:val="both"/>
      </w:pPr>
      <w:r>
        <w:rPr>
          <w:color w:val="000000"/>
          <w:spacing w:val="0"/>
          <w:w w:val="100"/>
          <w:position w:val="0"/>
          <w:shd w:val="clear" w:color="auto" w:fill="auto"/>
          <w:lang w:val="ru-RU" w:eastAsia="ru-RU" w:bidi="ru-RU"/>
        </w:rPr>
        <w:t>заявки с идентификационными номерами 1 и 3 признаны соответствующими требованиям Извещения.</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победителем аукциона признан участник закупки с идентификационным № 1 и ценовым предложением 329 280,30 руб.</w:t>
      </w:r>
    </w:p>
    <w:p>
      <w:pPr>
        <w:pStyle w:val="Style14"/>
        <w:keepNext w:val="0"/>
        <w:keepLines w:val="0"/>
        <w:widowControl w:val="0"/>
        <w:numPr>
          <w:ilvl w:val="0"/>
          <w:numId w:val="1"/>
        </w:numPr>
        <w:shd w:val="clear" w:color="auto" w:fill="auto"/>
        <w:tabs>
          <w:tab w:pos="927" w:val="left"/>
        </w:tabs>
        <w:bidi w:val="0"/>
        <w:spacing w:before="0" w:after="0"/>
        <w:ind w:left="0" w:right="0" w:firstLine="56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подпункта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Пунктом 1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подпункта в)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Требованиях к содержанию, составу заявки на участие в закупке Заказчиком указано, что для участия в электронном аукционе заявка на участие в закупке, если иное не предусмотрено Федеральным законом от 05.04.2013 № 44-ФЗ, должна содержать предложение участника закупки в отношении объекта закупки, в том</w:t>
      </w:r>
    </w:p>
    <w:p>
      <w:pPr>
        <w:pStyle w:val="Style1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числе:</w:t>
      </w:r>
    </w:p>
    <w:p>
      <w:pPr>
        <w:pStyle w:val="Style14"/>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 xml:space="preserve">3)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Федеральным законом от 05.04.2013 № 44-ФЗ предусмотрена документация о закупке): </w:t>
      </w:r>
      <w:r>
        <w:rPr>
          <w:b/>
          <w:bCs/>
          <w:i/>
          <w:iCs/>
          <w:color w:val="000000"/>
          <w:spacing w:val="0"/>
          <w:w w:val="100"/>
          <w:position w:val="0"/>
          <w:shd w:val="clear" w:color="auto" w:fill="auto"/>
          <w:lang w:val="ru-RU" w:eastAsia="ru-RU" w:bidi="ru-RU"/>
        </w:rPr>
        <w:t>Наличие регистрационного удостоверения</w:t>
      </w:r>
    </w:p>
    <w:p>
      <w:pPr>
        <w:pStyle w:val="Style14"/>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свою очередь, согласно полученной информации от оператора электронной площадки, ИП Немирович Т.Ю. предложила к поставке:</w:t>
      </w:r>
    </w:p>
    <w:p>
      <w:pPr>
        <w:pStyle w:val="Style14"/>
        <w:keepNext w:val="0"/>
        <w:keepLines w:val="0"/>
        <w:widowControl w:val="0"/>
        <w:numPr>
          <w:ilvl w:val="0"/>
          <w:numId w:val="5"/>
        </w:numPr>
        <w:shd w:val="clear" w:color="auto" w:fill="auto"/>
        <w:tabs>
          <w:tab w:pos="814" w:val="left"/>
        </w:tabs>
        <w:bidi w:val="0"/>
        <w:spacing w:before="0" w:after="0"/>
        <w:ind w:left="0" w:right="0" w:firstLine="600"/>
        <w:jc w:val="both"/>
      </w:pPr>
      <w:r>
        <w:rPr>
          <w:color w:val="000000"/>
          <w:spacing w:val="0"/>
          <w:w w:val="100"/>
          <w:position w:val="0"/>
          <w:shd w:val="clear" w:color="auto" w:fill="auto"/>
          <w:lang w:val="ru-RU" w:eastAsia="ru-RU" w:bidi="ru-RU"/>
        </w:rPr>
        <w:t>Материалы стоматологические слепочные силиконовые В181со;</w:t>
      </w:r>
    </w:p>
    <w:p>
      <w:pPr>
        <w:pStyle w:val="Style14"/>
        <w:keepNext w:val="0"/>
        <w:keepLines w:val="0"/>
        <w:widowControl w:val="0"/>
        <w:numPr>
          <w:ilvl w:val="0"/>
          <w:numId w:val="5"/>
        </w:numPr>
        <w:shd w:val="clear" w:color="auto" w:fill="auto"/>
        <w:tabs>
          <w:tab w:pos="771" w:val="left"/>
        </w:tabs>
        <w:bidi w:val="0"/>
        <w:spacing w:before="0" w:after="0"/>
        <w:ind w:left="0" w:right="0" w:firstLine="600"/>
        <w:jc w:val="both"/>
      </w:pPr>
      <w:r>
        <w:rPr>
          <w:color w:val="000000"/>
          <w:spacing w:val="0"/>
          <w:w w:val="100"/>
          <w:position w:val="0"/>
          <w:shd w:val="clear" w:color="auto" w:fill="auto"/>
          <w:lang w:val="ru-RU" w:eastAsia="ru-RU" w:bidi="ru-RU"/>
        </w:rPr>
        <w:t>Цемент стоматологический стеклоиономерный «АН1и1е+» (Кезт МосНйес! О1 йнйгщ Сетегй);</w:t>
      </w:r>
    </w:p>
    <w:p>
      <w:pPr>
        <w:pStyle w:val="Style14"/>
        <w:keepNext w:val="0"/>
        <w:keepLines w:val="0"/>
        <w:widowControl w:val="0"/>
        <w:numPr>
          <w:ilvl w:val="0"/>
          <w:numId w:val="5"/>
        </w:numPr>
        <w:shd w:val="clear" w:color="auto" w:fill="auto"/>
        <w:tabs>
          <w:tab w:pos="814" w:val="left"/>
        </w:tabs>
        <w:bidi w:val="0"/>
        <w:spacing w:before="0" w:after="0"/>
        <w:ind w:left="0" w:right="0" w:firstLine="600"/>
        <w:jc w:val="both"/>
      </w:pPr>
      <w:r>
        <w:rPr>
          <w:color w:val="000000"/>
          <w:spacing w:val="0"/>
          <w:w w:val="100"/>
          <w:position w:val="0"/>
          <w:shd w:val="clear" w:color="auto" w:fill="auto"/>
          <w:lang w:val="ru-RU" w:eastAsia="ru-RU" w:bidi="ru-RU"/>
        </w:rPr>
        <w:t>Материал стоматологический слепочный Ну скопит 5;</w:t>
      </w:r>
    </w:p>
    <w:p>
      <w:pPr>
        <w:pStyle w:val="Style14"/>
        <w:keepNext w:val="0"/>
        <w:keepLines w:val="0"/>
        <w:widowControl w:val="0"/>
        <w:numPr>
          <w:ilvl w:val="0"/>
          <w:numId w:val="5"/>
        </w:numPr>
        <w:shd w:val="clear" w:color="auto" w:fill="auto"/>
        <w:tabs>
          <w:tab w:pos="814" w:val="left"/>
        </w:tabs>
        <w:bidi w:val="0"/>
        <w:spacing w:before="0" w:after="0"/>
        <w:ind w:left="0" w:right="0" w:firstLine="600"/>
        <w:jc w:val="both"/>
      </w:pPr>
      <w:r>
        <w:rPr>
          <w:color w:val="000000"/>
          <w:spacing w:val="0"/>
          <w:w w:val="100"/>
          <w:position w:val="0"/>
          <w:shd w:val="clear" w:color="auto" w:fill="auto"/>
          <w:lang w:val="ru-RU" w:eastAsia="ru-RU" w:bidi="ru-RU"/>
        </w:rPr>
        <w:t>Материал пломбировочный стоматологический Мегоп;</w:t>
      </w:r>
    </w:p>
    <w:p>
      <w:pPr>
        <w:pStyle w:val="Style14"/>
        <w:keepNext w:val="0"/>
        <w:keepLines w:val="0"/>
        <w:widowControl w:val="0"/>
        <w:numPr>
          <w:ilvl w:val="0"/>
          <w:numId w:val="5"/>
        </w:numPr>
        <w:shd w:val="clear" w:color="auto" w:fill="auto"/>
        <w:tabs>
          <w:tab w:pos="814" w:val="left"/>
        </w:tabs>
        <w:bidi w:val="0"/>
        <w:spacing w:before="0" w:after="0"/>
        <w:ind w:left="0" w:right="0" w:firstLine="600"/>
        <w:jc w:val="both"/>
      </w:pPr>
      <w:r>
        <w:rPr>
          <w:color w:val="000000"/>
          <w:spacing w:val="0"/>
          <w:w w:val="100"/>
          <w:position w:val="0"/>
          <w:shd w:val="clear" w:color="auto" w:fill="auto"/>
          <w:lang w:val="ru-RU" w:eastAsia="ru-RU" w:bidi="ru-RU"/>
        </w:rPr>
        <w:t>Материал стоматологический слепочный альгинатный ОКТНОРВ4ИТ;</w:t>
      </w:r>
    </w:p>
    <w:p>
      <w:pPr>
        <w:pStyle w:val="Style14"/>
        <w:keepNext w:val="0"/>
        <w:keepLines w:val="0"/>
        <w:widowControl w:val="0"/>
        <w:numPr>
          <w:ilvl w:val="0"/>
          <w:numId w:val="5"/>
        </w:numPr>
        <w:shd w:val="clear" w:color="auto" w:fill="auto"/>
        <w:tabs>
          <w:tab w:pos="814" w:val="left"/>
        </w:tabs>
        <w:bidi w:val="0"/>
        <w:spacing w:before="0" w:after="0"/>
        <w:ind w:left="0" w:right="0" w:firstLine="600"/>
        <w:jc w:val="both"/>
      </w:pPr>
      <w:r>
        <w:rPr>
          <w:color w:val="000000"/>
          <w:spacing w:val="0"/>
          <w:w w:val="100"/>
          <w:position w:val="0"/>
          <w:shd w:val="clear" w:color="auto" w:fill="auto"/>
          <w:lang w:val="ru-RU" w:eastAsia="ru-RU" w:bidi="ru-RU"/>
        </w:rPr>
        <w:t>Материалы стоматологические слепочные Верт.</w:t>
      </w:r>
    </w:p>
    <w:p>
      <w:pPr>
        <w:pStyle w:val="Style1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Однако сведений о регистрационном удостоверении либо же копии регистрационного удостоверения на предложенный к поставке товар в составе заявки ИП Немирович Т.Ю. не содержатся.</w:t>
      </w:r>
    </w:p>
    <w:p>
      <w:pPr>
        <w:pStyle w:val="Style1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комиссия по осуществлению закупок, которая в силу подпункта а) пункта 1 части 5 статьи 49 Закона о контрактной системе, рассматривает заявки на участие в электронном аукционе исключительно на соответствие требованиям, установленным в Извещении об осуществлении закупки, правомерно приняла решение о несоответствии заявки ИП Немирович Т.Ю., поскольку заявка на участие в Аукционе не содержала копии регистрационного удостоверения на предложенный к поставке товар.</w:t>
      </w:r>
    </w:p>
    <w:p>
      <w:pPr>
        <w:pStyle w:val="Style14"/>
        <w:keepNext w:val="0"/>
        <w:keepLines w:val="0"/>
        <w:widowControl w:val="0"/>
        <w:shd w:val="clear" w:color="auto" w:fill="auto"/>
        <w:bidi w:val="0"/>
        <w:spacing w:before="0" w:after="360"/>
        <w:ind w:left="0" w:right="0" w:firstLine="600"/>
        <w:jc w:val="both"/>
      </w:pPr>
      <w:r>
        <w:rPr>
          <w:color w:val="000000"/>
          <w:spacing w:val="0"/>
          <w:w w:val="100"/>
          <w:position w:val="0"/>
          <w:shd w:val="clear" w:color="auto" w:fill="auto"/>
          <w:lang w:val="ru-RU" w:eastAsia="ru-RU" w:bidi="ru-RU"/>
        </w:rPr>
        <w:t>В силу изложенного выше, довод Заявителя о неправомерном отклонении его заявки не нашел своего подтверждения.</w:t>
      </w:r>
    </w:p>
    <w:p>
      <w:pPr>
        <w:pStyle w:val="Style1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Относительно позиции Заявителя о том, что не допускается требовать предоставления документов в случае, если они передаются вместе с товаром, Комиссия полагает необходимым отметить следующее.</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подпунктами а) и в)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4"/>
        <w:keepNext w:val="0"/>
        <w:keepLines w:val="0"/>
        <w:widowControl w:val="0"/>
        <w:numPr>
          <w:ilvl w:val="0"/>
          <w:numId w:val="7"/>
        </w:numPr>
        <w:shd w:val="clear" w:color="auto" w:fill="auto"/>
        <w:tabs>
          <w:tab w:pos="830" w:val="left"/>
        </w:tabs>
        <w:bidi w:val="0"/>
        <w:spacing w:before="0" w:after="0"/>
        <w:ind w:left="0" w:right="0" w:firstLine="560"/>
        <w:jc w:val="both"/>
      </w:pPr>
      <w:r>
        <w:rPr>
          <w:color w:val="000000"/>
          <w:spacing w:val="0"/>
          <w:w w:val="100"/>
          <w:position w:val="0"/>
          <w:shd w:val="clear" w:color="auto" w:fill="auto"/>
          <w:lang w:val="ru-RU" w:eastAsia="ru-RU" w:bidi="ru-RU"/>
        </w:rPr>
        <w:t>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4"/>
        <w:keepNext w:val="0"/>
        <w:keepLines w:val="0"/>
        <w:widowControl w:val="0"/>
        <w:numPr>
          <w:ilvl w:val="0"/>
          <w:numId w:val="7"/>
        </w:numPr>
        <w:shd w:val="clear" w:color="auto" w:fill="auto"/>
        <w:tabs>
          <w:tab w:pos="830" w:val="left"/>
        </w:tabs>
        <w:bidi w:val="0"/>
        <w:spacing w:before="0" w:after="0"/>
        <w:ind w:left="0" w:right="0" w:firstLine="56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Регистрационное удостоверение является документом, подтверждающим возможность обращения медицинского изделия на территории Российской Федерации, в связи с чем, требование Заказчика о наличии в составе заявки на участие в аукционе действующего регистрационного удостоверения на предлагаемый к поставке товар, не противоречит вышеуказанным положениям законодательства.</w:t>
      </w:r>
    </w:p>
    <w:p>
      <w:pPr>
        <w:pStyle w:val="Style14"/>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основании изложенного, Комиссия приходит к выводу о необоснованности жалобы.</w:t>
      </w:r>
    </w:p>
    <w:p>
      <w:pPr>
        <w:pStyle w:val="Style14"/>
        <w:keepNext w:val="0"/>
        <w:keepLines w:val="0"/>
        <w:widowControl w:val="0"/>
        <w:shd w:val="clear" w:color="auto" w:fill="auto"/>
        <w:bidi w:val="0"/>
        <w:spacing w:before="0" w:after="0"/>
        <w:ind w:left="0" w:right="0" w:firstLine="540"/>
        <w:jc w:val="both"/>
      </w:pPr>
      <w:r>
        <w:rPr>
          <w:i/>
          <w:iCs/>
          <w:color w:val="000000"/>
          <w:spacing w:val="0"/>
          <w:w w:val="100"/>
          <w:position w:val="0"/>
          <w:shd w:val="clear" w:color="auto" w:fill="auto"/>
          <w:lang w:val="ru-RU" w:eastAsia="ru-RU" w:bidi="ru-RU"/>
        </w:rPr>
        <w:t>В ходе проведения внеплановой проверки установлено следующее.</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Частью 2 статьи 8 Закона о контрактной системе определено, что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4"/>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пункту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Style14"/>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Позиция ФАС России сводится к тому, что установление требований к объекту закупки, указывающих на единственного производителя, не позволяющих предложить к поставке аналогичный товар иного производителя, ограничивает количество участников закупки, так как приводит к несамостоятельным действиям </w:t>
      </w:r>
      <w:r>
        <w:rPr>
          <w:color w:val="000000"/>
          <w:spacing w:val="0"/>
          <w:w w:val="100"/>
          <w:position w:val="0"/>
          <w:shd w:val="clear" w:color="auto" w:fill="auto"/>
          <w:lang w:val="ru-RU" w:eastAsia="ru-RU" w:bidi="ru-RU"/>
        </w:rPr>
        <w:t>участников при подаче ценовых предложений, поскольку такие действия обусловливаются ценовой политикой одного хозяйствующего субъекта производителя, в том числе способного оказать влияние на ценовые предложения различных поставщиков и (или) отказаться от заключения договоров поставки с ними.</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том случае, если закупаемый товар не предполагает специфики использования, потребность заказчика может быть удовлетворена аналогичным товаром различных производителей. При этом заказчику надлежит осуществить действия по обеспечению соответствия требованиям описания объекта закупки товаров как минимум двух производителей в целях расширения круга участников закупки, обеспечения экономии бюджетных средств путем наличия конкурентной среды при проведении электронного аукциона.</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Объектом закупки является поставка приспособлений и расходных материалов для стоматологии. Согласно описанию объекта закупки Заказчику необходимы следующие товары:</w:t>
      </w:r>
    </w:p>
    <w:p>
      <w:pPr>
        <w:pStyle w:val="Style14"/>
        <w:keepNext w:val="0"/>
        <w:keepLines w:val="0"/>
        <w:widowControl w:val="0"/>
        <w:numPr>
          <w:ilvl w:val="0"/>
          <w:numId w:val="9"/>
        </w:numPr>
        <w:shd w:val="clear" w:color="auto" w:fill="auto"/>
        <w:tabs>
          <w:tab w:pos="785" w:val="left"/>
        </w:tabs>
        <w:bidi w:val="0"/>
        <w:spacing w:before="0" w:after="0"/>
        <w:ind w:left="0" w:right="0" w:firstLine="560"/>
        <w:jc w:val="both"/>
      </w:pPr>
      <w:r>
        <w:rPr>
          <w:color w:val="000000"/>
          <w:spacing w:val="0"/>
          <w:w w:val="100"/>
          <w:position w:val="0"/>
          <w:shd w:val="clear" w:color="auto" w:fill="auto"/>
          <w:lang w:val="ru-RU" w:eastAsia="ru-RU" w:bidi="ru-RU"/>
        </w:rPr>
        <w:t>позиция 1 Коррегирующий материал:</w:t>
      </w:r>
    </w:p>
    <w:p>
      <w:pPr>
        <w:pStyle w:val="Style14"/>
        <w:keepNext w:val="0"/>
        <w:keepLines w:val="0"/>
        <w:widowControl w:val="0"/>
        <w:numPr>
          <w:ilvl w:val="0"/>
          <w:numId w:val="9"/>
        </w:numPr>
        <w:shd w:val="clear" w:color="auto" w:fill="auto"/>
        <w:tabs>
          <w:tab w:pos="765" w:val="left"/>
        </w:tabs>
        <w:bidi w:val="0"/>
        <w:spacing w:before="0" w:after="0"/>
        <w:ind w:left="0" w:right="0" w:firstLine="540"/>
        <w:jc w:val="both"/>
      </w:pPr>
      <w:r>
        <w:rPr>
          <w:color w:val="000000"/>
          <w:spacing w:val="0"/>
          <w:w w:val="100"/>
          <w:position w:val="0"/>
          <w:shd w:val="clear" w:color="auto" w:fill="auto"/>
          <w:lang w:val="ru-RU" w:eastAsia="ru-RU" w:bidi="ru-RU"/>
        </w:rPr>
        <w:t>позиция 2 Цемент стоматологический стеклоиономерный;</w:t>
      </w:r>
    </w:p>
    <w:p>
      <w:pPr>
        <w:pStyle w:val="Style14"/>
        <w:keepNext w:val="0"/>
        <w:keepLines w:val="0"/>
        <w:widowControl w:val="0"/>
        <w:numPr>
          <w:ilvl w:val="0"/>
          <w:numId w:val="9"/>
        </w:numPr>
        <w:shd w:val="clear" w:color="auto" w:fill="auto"/>
        <w:tabs>
          <w:tab w:pos="765" w:val="left"/>
        </w:tabs>
        <w:bidi w:val="0"/>
        <w:spacing w:before="0" w:after="0"/>
        <w:ind w:left="0" w:right="0" w:firstLine="540"/>
        <w:jc w:val="both"/>
      </w:pPr>
      <w:r>
        <w:rPr>
          <w:color w:val="000000"/>
          <w:spacing w:val="0"/>
          <w:w w:val="100"/>
          <w:position w:val="0"/>
          <w:shd w:val="clear" w:color="auto" w:fill="auto"/>
          <w:lang w:val="ru-RU" w:eastAsia="ru-RU" w:bidi="ru-RU"/>
        </w:rPr>
        <w:t>позиция 3 Материал стоматологический слепочный альгинатный;</w:t>
      </w:r>
    </w:p>
    <w:p>
      <w:pPr>
        <w:pStyle w:val="Style14"/>
        <w:keepNext w:val="0"/>
        <w:keepLines w:val="0"/>
        <w:widowControl w:val="0"/>
        <w:numPr>
          <w:ilvl w:val="0"/>
          <w:numId w:val="9"/>
        </w:numPr>
        <w:shd w:val="clear" w:color="auto" w:fill="auto"/>
        <w:tabs>
          <w:tab w:pos="765" w:val="left"/>
        </w:tabs>
        <w:bidi w:val="0"/>
        <w:spacing w:before="0" w:after="0"/>
        <w:ind w:left="0" w:right="0" w:firstLine="540"/>
        <w:jc w:val="both"/>
      </w:pPr>
      <w:r>
        <w:rPr>
          <w:color w:val="000000"/>
          <w:spacing w:val="0"/>
          <w:w w:val="100"/>
          <w:position w:val="0"/>
          <w:shd w:val="clear" w:color="auto" w:fill="auto"/>
          <w:lang w:val="ru-RU" w:eastAsia="ru-RU" w:bidi="ru-RU"/>
        </w:rPr>
        <w:t>позиция 4 Цемент стоматологический стеклоиономерный;</w:t>
      </w:r>
    </w:p>
    <w:p>
      <w:pPr>
        <w:pStyle w:val="Style14"/>
        <w:keepNext w:val="0"/>
        <w:keepLines w:val="0"/>
        <w:widowControl w:val="0"/>
        <w:numPr>
          <w:ilvl w:val="0"/>
          <w:numId w:val="9"/>
        </w:numPr>
        <w:shd w:val="clear" w:color="auto" w:fill="auto"/>
        <w:tabs>
          <w:tab w:pos="765" w:val="left"/>
        </w:tabs>
        <w:bidi w:val="0"/>
        <w:spacing w:before="0" w:after="0"/>
        <w:ind w:left="0" w:right="0" w:firstLine="540"/>
        <w:jc w:val="both"/>
      </w:pPr>
      <w:r>
        <w:rPr>
          <w:color w:val="000000"/>
          <w:spacing w:val="0"/>
          <w:w w:val="100"/>
          <w:position w:val="0"/>
          <w:shd w:val="clear" w:color="auto" w:fill="auto"/>
          <w:lang w:val="ru-RU" w:eastAsia="ru-RU" w:bidi="ru-RU"/>
        </w:rPr>
        <w:t>позиция 5 Материал стоматологический слепочный альгинатный;</w:t>
      </w:r>
    </w:p>
    <w:p>
      <w:pPr>
        <w:pStyle w:val="Style14"/>
        <w:keepNext w:val="0"/>
        <w:keepLines w:val="0"/>
        <w:widowControl w:val="0"/>
        <w:numPr>
          <w:ilvl w:val="0"/>
          <w:numId w:val="9"/>
        </w:numPr>
        <w:shd w:val="clear" w:color="auto" w:fill="auto"/>
        <w:tabs>
          <w:tab w:pos="765" w:val="left"/>
        </w:tabs>
        <w:bidi w:val="0"/>
        <w:spacing w:before="0" w:after="0"/>
        <w:ind w:left="0" w:right="0" w:firstLine="540"/>
        <w:jc w:val="both"/>
      </w:pPr>
      <w:r>
        <w:rPr>
          <w:color w:val="000000"/>
          <w:spacing w:val="0"/>
          <w:w w:val="100"/>
          <w:position w:val="0"/>
          <w:shd w:val="clear" w:color="auto" w:fill="auto"/>
          <w:lang w:val="ru-RU" w:eastAsia="ru-RU" w:bidi="ru-RU"/>
        </w:rPr>
        <w:t>позиция 6 Цемент стоматологический на основе оксида цинка с эвгенолом.</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при обосновании начальной (максимальной) цены контракта (далее — НМЦК) Заказчиком использован метод сопоставимых рыночных цен. Так, Заказчиком в материалы дела представлены скриншоты с разных сайтов согласно которым:</w:t>
      </w:r>
    </w:p>
    <w:p>
      <w:pPr>
        <w:pStyle w:val="Style14"/>
        <w:keepNext w:val="0"/>
        <w:keepLines w:val="0"/>
        <w:widowControl w:val="0"/>
        <w:numPr>
          <w:ilvl w:val="0"/>
          <w:numId w:val="9"/>
        </w:numPr>
        <w:shd w:val="clear" w:color="auto" w:fill="auto"/>
        <w:tabs>
          <w:tab w:pos="796" w:val="left"/>
        </w:tabs>
        <w:bidi w:val="0"/>
        <w:spacing w:before="0" w:after="0"/>
        <w:ind w:left="0" w:right="0" w:firstLine="560"/>
        <w:jc w:val="both"/>
      </w:pPr>
      <w:r>
        <w:rPr>
          <w:color w:val="000000"/>
          <w:spacing w:val="0"/>
          <w:w w:val="100"/>
          <w:position w:val="0"/>
          <w:shd w:val="clear" w:color="auto" w:fill="auto"/>
          <w:lang w:val="ru-RU" w:eastAsia="ru-RU" w:bidi="ru-RU"/>
        </w:rPr>
        <w:t>по позиции 1 Заказчик обосновал НМЦК товаром одного производителя, а именно коррегирующий материал В181СО 84 Ьщ111 (производства В181СО, Германия);</w:t>
      </w:r>
    </w:p>
    <w:p>
      <w:pPr>
        <w:pStyle w:val="Style14"/>
        <w:keepNext w:val="0"/>
        <w:keepLines w:val="0"/>
        <w:widowControl w:val="0"/>
        <w:numPr>
          <w:ilvl w:val="0"/>
          <w:numId w:val="9"/>
        </w:numPr>
        <w:shd w:val="clear" w:color="auto" w:fill="auto"/>
        <w:tabs>
          <w:tab w:pos="888" w:val="left"/>
        </w:tabs>
        <w:bidi w:val="0"/>
        <w:spacing w:before="0" w:after="0"/>
        <w:ind w:left="0" w:right="0" w:firstLine="560"/>
        <w:jc w:val="both"/>
      </w:pPr>
      <w:r>
        <w:rPr>
          <w:color w:val="000000"/>
          <w:spacing w:val="0"/>
          <w:w w:val="100"/>
          <w:position w:val="0"/>
          <w:shd w:val="clear" w:color="auto" w:fill="auto"/>
          <w:lang w:val="ru-RU" w:eastAsia="ru-RU" w:bidi="ru-RU"/>
        </w:rPr>
        <w:t>по позиции 2 Заказчик обосновал НМЦК товаром одного производителя, а именно цемент стоматологический стеклоиономерный «АЫиТе+я (производства АНЬ, Великобритания);</w:t>
      </w:r>
    </w:p>
    <w:p>
      <w:pPr>
        <w:pStyle w:val="Style14"/>
        <w:keepNext w:val="0"/>
        <w:keepLines w:val="0"/>
        <w:widowControl w:val="0"/>
        <w:numPr>
          <w:ilvl w:val="0"/>
          <w:numId w:val="9"/>
        </w:numPr>
        <w:shd w:val="clear" w:color="auto" w:fill="auto"/>
        <w:tabs>
          <w:tab w:pos="888" w:val="left"/>
        </w:tabs>
        <w:bidi w:val="0"/>
        <w:spacing w:before="0" w:after="0"/>
        <w:ind w:left="0" w:right="0" w:firstLine="560"/>
        <w:jc w:val="both"/>
      </w:pPr>
      <w:r>
        <w:rPr>
          <w:color w:val="000000"/>
          <w:spacing w:val="0"/>
          <w:w w:val="100"/>
          <w:position w:val="0"/>
          <w:shd w:val="clear" w:color="auto" w:fill="auto"/>
          <w:lang w:val="ru-RU" w:eastAsia="ru-RU" w:bidi="ru-RU"/>
        </w:rPr>
        <w:t>по позиции 3 Заказчик обосновал НМЦК товаром одного производителя, а именно альгинальная слепочная масса Нубгощпп 5 (производства Хйегтаск, Италия);</w:t>
      </w:r>
    </w:p>
    <w:p>
      <w:pPr>
        <w:pStyle w:val="Style14"/>
        <w:keepNext w:val="0"/>
        <w:keepLines w:val="0"/>
        <w:widowControl w:val="0"/>
        <w:numPr>
          <w:ilvl w:val="0"/>
          <w:numId w:val="9"/>
        </w:numPr>
        <w:shd w:val="clear" w:color="auto" w:fill="auto"/>
        <w:tabs>
          <w:tab w:pos="801" w:val="left"/>
        </w:tabs>
        <w:bidi w:val="0"/>
        <w:spacing w:before="0" w:after="0"/>
        <w:ind w:left="0" w:right="0" w:firstLine="560"/>
        <w:jc w:val="both"/>
      </w:pPr>
      <w:r>
        <w:rPr>
          <w:color w:val="000000"/>
          <w:spacing w:val="0"/>
          <w:w w:val="100"/>
          <w:position w:val="0"/>
          <w:shd w:val="clear" w:color="auto" w:fill="auto"/>
          <w:lang w:val="ru-RU" w:eastAsia="ru-RU" w:bidi="ru-RU"/>
        </w:rPr>
        <w:t>по позиции 4 Заказчик обосновал НМЦК товаром одного производителя, а именно стеклоиономерный цемент для фиксации Мегоп (производства УОСО, Германия);</w:t>
      </w:r>
    </w:p>
    <w:p>
      <w:pPr>
        <w:pStyle w:val="Style14"/>
        <w:keepNext w:val="0"/>
        <w:keepLines w:val="0"/>
        <w:widowControl w:val="0"/>
        <w:numPr>
          <w:ilvl w:val="0"/>
          <w:numId w:val="9"/>
        </w:numPr>
        <w:shd w:val="clear" w:color="auto" w:fill="auto"/>
        <w:tabs>
          <w:tab w:pos="225" w:val="left"/>
        </w:tabs>
        <w:bidi w:val="0"/>
        <w:spacing w:before="0" w:after="0"/>
        <w:ind w:left="0" w:right="0" w:firstLine="540"/>
        <w:jc w:val="both"/>
      </w:pPr>
      <w:r>
        <w:rPr>
          <w:color w:val="000000"/>
          <w:spacing w:val="0"/>
          <w:w w:val="100"/>
          <w:position w:val="0"/>
          <w:shd w:val="clear" w:color="auto" w:fill="auto"/>
          <w:lang w:val="ru-RU" w:eastAsia="ru-RU" w:bidi="ru-RU"/>
        </w:rPr>
        <w:t>по позиции 5 Заказчик обосновал НМЦК товаром одного производителя, а</w:t>
        <w:br w:type="page"/>
      </w:r>
      <w:r>
        <w:rPr>
          <w:color w:val="000000"/>
          <w:spacing w:val="0"/>
          <w:w w:val="100"/>
          <w:position w:val="0"/>
          <w:shd w:val="clear" w:color="auto" w:fill="auto"/>
          <w:lang w:val="ru-RU" w:eastAsia="ru-RU" w:bidi="ru-RU"/>
        </w:rPr>
        <w:t>именно материал стоматологический слепочный альгинатный ЫеосоПоМ (производства Дгегтаск, Италия);</w:t>
      </w:r>
    </w:p>
    <w:p>
      <w:pPr>
        <w:pStyle w:val="Style14"/>
        <w:keepNext w:val="0"/>
        <w:keepLines w:val="0"/>
        <w:widowControl w:val="0"/>
        <w:numPr>
          <w:ilvl w:val="0"/>
          <w:numId w:val="9"/>
        </w:numPr>
        <w:shd w:val="clear" w:color="auto" w:fill="auto"/>
        <w:tabs>
          <w:tab w:pos="888" w:val="left"/>
        </w:tabs>
        <w:bidi w:val="0"/>
        <w:spacing w:before="0" w:after="0"/>
        <w:ind w:left="0" w:right="0" w:firstLine="580"/>
        <w:jc w:val="both"/>
      </w:pPr>
      <w:r>
        <w:rPr>
          <w:color w:val="000000"/>
          <w:spacing w:val="0"/>
          <w:w w:val="100"/>
          <w:position w:val="0"/>
          <w:shd w:val="clear" w:color="auto" w:fill="auto"/>
          <w:lang w:val="ru-RU" w:eastAsia="ru-RU" w:bidi="ru-RU"/>
        </w:rPr>
        <w:t>по позиции 6 Заказчик обосновал НМЦК товаром одного производителя, а именно оттискный материал для беззубых челюстей Керт (производства ЗроГа ИепТа!, Чехия).</w:t>
      </w: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Кроме того, проанализировав заявки участников аукциона, Комиссией установлено, что участники предлагают к поставке следующие товары:</w:t>
      </w:r>
    </w:p>
    <w:tbl>
      <w:tblPr>
        <w:tblOverlap w:val="never"/>
        <w:jc w:val="center"/>
        <w:tblLayout w:type="fixed"/>
      </w:tblPr>
      <w:tblGrid>
        <w:gridCol w:w="480"/>
        <w:gridCol w:w="2669"/>
        <w:gridCol w:w="2333"/>
        <w:gridCol w:w="2318"/>
        <w:gridCol w:w="2410"/>
      </w:tblGrid>
      <w:tr>
        <w:trPr>
          <w:trHeight w:val="562"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62" w:lineRule="auto"/>
              <w:ind w:left="0" w:right="0" w:firstLine="0"/>
              <w:jc w:val="left"/>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62" w:lineRule="auto"/>
              <w:ind w:left="0" w:right="0" w:firstLine="0"/>
              <w:jc w:val="left"/>
              <w:rPr>
                <w:sz w:val="20"/>
                <w:szCs w:val="20"/>
              </w:rPr>
            </w:pPr>
            <w:r>
              <w:rPr>
                <w:color w:val="000000"/>
                <w:spacing w:val="0"/>
                <w:w w:val="100"/>
                <w:position w:val="0"/>
                <w:sz w:val="20"/>
                <w:szCs w:val="20"/>
                <w:shd w:val="clear" w:color="auto" w:fill="auto"/>
                <w:lang w:val="ru-RU" w:eastAsia="ru-RU" w:bidi="ru-RU"/>
              </w:rPr>
              <w:t>Наименование товара, работы, услуги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№1</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№2</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№3</w:t>
            </w:r>
          </w:p>
        </w:tc>
      </w:tr>
      <w:tr>
        <w:trPr>
          <w:trHeight w:val="1070"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Коррегирующий материал</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Материалы стоматологиче ские слепочные силиконовые В181СО 84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Материалы стоматологические слепочные силиконовые В181СО</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Материалы</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стоматологические</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слепочные силиконовые</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В181со:В181со 84</w:t>
            </w:r>
          </w:p>
        </w:tc>
      </w:tr>
      <w:tr>
        <w:trPr>
          <w:trHeight w:val="1829"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Цемент стоматологический стеклоиономерный</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Цемент стоматологиче ский стеклоиономерный «АН1и1е+»</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Цемент стоматологический стеклоиономерный «АН1и1е+» (Кезт МосНГюс! Ст! 1лДт§ Сетей!:)</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Цементы</w:t>
            </w:r>
          </w:p>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стоматологические стеклоиономерные «АНййе» в наборах: «АН1и!е+» (Кезт Мос1й'юс1 Ст! 1лйт§ Сетей!)</w:t>
            </w:r>
          </w:p>
        </w:tc>
      </w:tr>
      <w:tr>
        <w:trPr>
          <w:trHeight w:val="1320"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 стоматологиче ский слепочный альгинатный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 стоматологиче ский слепочный альгинатный НУОКООИМ 5</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w:t>
            </w:r>
          </w:p>
          <w:p>
            <w:pPr>
              <w:pStyle w:val="Style24"/>
              <w:keepNext w:val="0"/>
              <w:keepLines w:val="0"/>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стоматологический слепочный Ну&lt;1го§ит 5</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 стоматологический слепочный альгинатный с принадлежностями: НУОКООИМ 5</w:t>
            </w:r>
          </w:p>
        </w:tc>
      </w:tr>
      <w:tr>
        <w:trPr>
          <w:trHeight w:val="1574"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2" w:lineRule="auto"/>
              <w:ind w:left="0" w:right="0" w:firstLine="0"/>
              <w:jc w:val="left"/>
              <w:rPr>
                <w:sz w:val="20"/>
                <w:szCs w:val="20"/>
              </w:rPr>
            </w:pPr>
            <w:r>
              <w:rPr>
                <w:color w:val="000000"/>
                <w:spacing w:val="0"/>
                <w:w w:val="100"/>
                <w:position w:val="0"/>
                <w:sz w:val="20"/>
                <w:szCs w:val="20"/>
                <w:shd w:val="clear" w:color="auto" w:fill="auto"/>
                <w:lang w:val="ru-RU" w:eastAsia="ru-RU" w:bidi="ru-RU"/>
              </w:rPr>
              <w:t>Цемент стоматологический стеклоиономерный</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2"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Материалы пломбировочные стоматологиче ские УОСО (Мегоп)</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2"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 пломбировочный стоматологический Мегоп</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Цемент</w:t>
            </w:r>
          </w:p>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стоматологический стеклоиономерный двухкомпонентный рентгеноконтрастный «Цемион»</w:t>
            </w:r>
          </w:p>
        </w:tc>
      </w:tr>
      <w:tr>
        <w:trPr>
          <w:trHeight w:val="1325"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 стоматологиче ский слепочный альгинатный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 стоматологиче ский слепочный альгинатный ХЕОСОШО1О</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 стоматологический слепочный альгинатный ОКТНОРКНУТ</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С томато логиче ские оттискные материалы с принадлежностями: ОгЙюрпп!</w:t>
            </w:r>
          </w:p>
        </w:tc>
      </w:tr>
      <w:tr>
        <w:trPr>
          <w:trHeight w:val="821"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6</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Цемент стоматологический на основе оксида цинка с эвгенолом</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Материалы стоматологиче ские слепочные Керт</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Материалы стоматологические слепочные Керт</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64" w:lineRule="auto"/>
              <w:ind w:left="0" w:right="0" w:firstLine="0"/>
              <w:jc w:val="left"/>
              <w:rPr>
                <w:sz w:val="20"/>
                <w:szCs w:val="20"/>
              </w:rPr>
            </w:pPr>
            <w:r>
              <w:rPr>
                <w:color w:val="000000"/>
                <w:spacing w:val="0"/>
                <w:w w:val="100"/>
                <w:position w:val="0"/>
                <w:sz w:val="20"/>
                <w:szCs w:val="20"/>
                <w:shd w:val="clear" w:color="auto" w:fill="auto"/>
                <w:lang w:val="ru-RU" w:eastAsia="ru-RU" w:bidi="ru-RU"/>
              </w:rPr>
              <w:t>Материалы стоматологические слепочные Керт</w:t>
            </w:r>
          </w:p>
        </w:tc>
      </w:tr>
    </w:tbl>
    <w:p>
      <w:pPr>
        <w:widowControl w:val="0"/>
        <w:spacing w:after="379" w:line="1" w:lineRule="exact"/>
      </w:pPr>
    </w:p>
    <w:p>
      <w:pPr>
        <w:pStyle w:val="Style1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Комиссия отмечает, что по позиции 5 участниками №2 и №3 предложен к поставке товар </w:t>
      </w:r>
      <w:r>
        <w:rPr>
          <w:i/>
          <w:iCs/>
          <w:color w:val="000000"/>
          <w:spacing w:val="0"/>
          <w:w w:val="100"/>
          <w:position w:val="0"/>
          <w:shd w:val="clear" w:color="auto" w:fill="auto"/>
          <w:lang w:val="ru-RU" w:eastAsia="ru-RU" w:bidi="ru-RU"/>
        </w:rPr>
        <w:t>«Стоматологические оттискные материалы с принадлежностями: Ог1коргт1»,</w:t>
      </w:r>
      <w:r>
        <w:rPr>
          <w:color w:val="000000"/>
          <w:spacing w:val="0"/>
          <w:w w:val="100"/>
          <w:position w:val="0"/>
          <w:shd w:val="clear" w:color="auto" w:fill="auto"/>
          <w:lang w:val="ru-RU" w:eastAsia="ru-RU" w:bidi="ru-RU"/>
        </w:rPr>
        <w:t xml:space="preserve"> а участником №1 предложен к поставке </w:t>
      </w:r>
      <w:r>
        <w:rPr>
          <w:i/>
          <w:iCs/>
          <w:color w:val="000000"/>
          <w:spacing w:val="0"/>
          <w:w w:val="100"/>
          <w:position w:val="0"/>
          <w:shd w:val="clear" w:color="auto" w:fill="auto"/>
          <w:lang w:val="ru-RU" w:eastAsia="ru-RU" w:bidi="ru-RU"/>
        </w:rPr>
        <w:t>«Материал стоматологический слепочный альгинатный №ОСО1МОПд»,</w:t>
      </w:r>
      <w:r>
        <w:rPr>
          <w:color w:val="000000"/>
          <w:spacing w:val="0"/>
          <w:w w:val="100"/>
          <w:position w:val="0"/>
          <w:shd w:val="clear" w:color="auto" w:fill="auto"/>
          <w:lang w:val="ru-RU" w:eastAsia="ru-RU" w:bidi="ru-RU"/>
        </w:rPr>
        <w:t xml:space="preserve"> в свою очередь, производитель у вышеуказанных товаров одни, а именно - 21зеппаск, Италия.</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На основании вышеизложенного, Комиссия приходит к выводу, что по позициям 1,2,3,5 и 6 участниками аукциона к поставке предложен товар одного производителя.</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качестве наличия еще одного производителя Заказчиком в материалы дела представлены скриншоты со следующими товарами:</w:t>
      </w:r>
    </w:p>
    <w:p>
      <w:pPr>
        <w:pStyle w:val="Style14"/>
        <w:keepNext w:val="0"/>
        <w:keepLines w:val="0"/>
        <w:widowControl w:val="0"/>
        <w:numPr>
          <w:ilvl w:val="0"/>
          <w:numId w:val="9"/>
        </w:numPr>
        <w:shd w:val="clear" w:color="auto" w:fill="auto"/>
        <w:tabs>
          <w:tab w:pos="793" w:val="left"/>
        </w:tabs>
        <w:bidi w:val="0"/>
        <w:spacing w:before="0" w:after="0"/>
        <w:ind w:left="0" w:right="0" w:firstLine="560"/>
        <w:jc w:val="both"/>
      </w:pPr>
      <w:r>
        <w:rPr>
          <w:color w:val="000000"/>
          <w:spacing w:val="0"/>
          <w:w w:val="100"/>
          <w:position w:val="0"/>
          <w:shd w:val="clear" w:color="auto" w:fill="auto"/>
          <w:lang w:val="ru-RU" w:eastAsia="ru-RU" w:bidi="ru-RU"/>
        </w:rPr>
        <w:t>по позиции 1 материал корригирующий поливинилсилоксановый коЫегзй 2 8нрег11ш1гор11Шс (производства КоЫег, Германия);</w:t>
      </w:r>
    </w:p>
    <w:p>
      <w:pPr>
        <w:pStyle w:val="Style14"/>
        <w:keepNext w:val="0"/>
        <w:keepLines w:val="0"/>
        <w:widowControl w:val="0"/>
        <w:numPr>
          <w:ilvl w:val="0"/>
          <w:numId w:val="9"/>
        </w:numPr>
        <w:shd w:val="clear" w:color="auto" w:fill="auto"/>
        <w:tabs>
          <w:tab w:pos="793" w:val="left"/>
        </w:tabs>
        <w:bidi w:val="0"/>
        <w:spacing w:before="0" w:after="0"/>
        <w:ind w:left="0" w:right="0" w:firstLine="560"/>
        <w:jc w:val="both"/>
      </w:pPr>
      <w:r>
        <w:rPr>
          <w:color w:val="000000"/>
          <w:spacing w:val="0"/>
          <w:w w:val="100"/>
          <w:position w:val="0"/>
          <w:shd w:val="clear" w:color="auto" w:fill="auto"/>
          <w:lang w:val="ru-RU" w:eastAsia="ru-RU" w:bidi="ru-RU"/>
        </w:rPr>
        <w:t>по позиции 2 усиленный стеклоиономерный цемент ОС Гиф РШ8 (Фуджи плюс) (производства ОС, Япония);</w:t>
      </w:r>
    </w:p>
    <w:p>
      <w:pPr>
        <w:pStyle w:val="Style14"/>
        <w:keepNext w:val="0"/>
        <w:keepLines w:val="0"/>
        <w:widowControl w:val="0"/>
        <w:numPr>
          <w:ilvl w:val="0"/>
          <w:numId w:val="9"/>
        </w:numPr>
        <w:shd w:val="clear" w:color="auto" w:fill="auto"/>
        <w:tabs>
          <w:tab w:pos="793" w:val="left"/>
        </w:tabs>
        <w:bidi w:val="0"/>
        <w:spacing w:before="0" w:after="0"/>
        <w:ind w:left="0" w:right="0" w:firstLine="560"/>
        <w:jc w:val="both"/>
      </w:pPr>
      <w:r>
        <w:rPr>
          <w:color w:val="000000"/>
          <w:spacing w:val="0"/>
          <w:w w:val="100"/>
          <w:position w:val="0"/>
          <w:shd w:val="clear" w:color="auto" w:fill="auto"/>
          <w:lang w:val="ru-RU" w:eastAsia="ru-RU" w:bidi="ru-RU"/>
        </w:rPr>
        <w:t>по позиции 3 слепочная масса альгинатная А1щпшах (произвосдтва Мащг, Италия);</w:t>
      </w:r>
    </w:p>
    <w:p>
      <w:pPr>
        <w:pStyle w:val="Style14"/>
        <w:keepNext w:val="0"/>
        <w:keepLines w:val="0"/>
        <w:widowControl w:val="0"/>
        <w:numPr>
          <w:ilvl w:val="0"/>
          <w:numId w:val="9"/>
        </w:numPr>
        <w:shd w:val="clear" w:color="auto" w:fill="auto"/>
        <w:tabs>
          <w:tab w:pos="793" w:val="left"/>
        </w:tabs>
        <w:bidi w:val="0"/>
        <w:spacing w:before="0" w:after="0"/>
        <w:ind w:left="0" w:right="0" w:firstLine="560"/>
        <w:jc w:val="both"/>
      </w:pPr>
      <w:r>
        <w:rPr>
          <w:color w:val="000000"/>
          <w:spacing w:val="0"/>
          <w:w w:val="100"/>
          <w:position w:val="0"/>
          <w:shd w:val="clear" w:color="auto" w:fill="auto"/>
          <w:lang w:val="ru-RU" w:eastAsia="ru-RU" w:bidi="ru-RU"/>
        </w:rPr>
        <w:t>по позиции 4 стеклоиономерный цемент для постоянной фиксации Гиф 1 (производства ОС, Япония);</w:t>
      </w:r>
    </w:p>
    <w:p>
      <w:pPr>
        <w:pStyle w:val="Style14"/>
        <w:keepNext w:val="0"/>
        <w:keepLines w:val="0"/>
        <w:widowControl w:val="0"/>
        <w:numPr>
          <w:ilvl w:val="0"/>
          <w:numId w:val="9"/>
        </w:numPr>
        <w:shd w:val="clear" w:color="auto" w:fill="auto"/>
        <w:tabs>
          <w:tab w:pos="793" w:val="left"/>
        </w:tabs>
        <w:bidi w:val="0"/>
        <w:spacing w:before="0" w:after="0"/>
        <w:ind w:left="0" w:right="0" w:firstLine="560"/>
        <w:jc w:val="both"/>
      </w:pPr>
      <w:r>
        <w:rPr>
          <w:color w:val="000000"/>
          <w:spacing w:val="0"/>
          <w:w w:val="100"/>
          <w:position w:val="0"/>
          <w:shd w:val="clear" w:color="auto" w:fill="auto"/>
          <w:lang w:val="ru-RU" w:eastAsia="ru-RU" w:bidi="ru-RU"/>
        </w:rPr>
        <w:t>по позиции 5 альгинатная слепочная масса Урееп (производства 8роГаОеп1а1, Чехия);</w:t>
      </w:r>
    </w:p>
    <w:p>
      <w:pPr>
        <w:pStyle w:val="Style14"/>
        <w:keepNext w:val="0"/>
        <w:keepLines w:val="0"/>
        <w:widowControl w:val="0"/>
        <w:numPr>
          <w:ilvl w:val="0"/>
          <w:numId w:val="9"/>
        </w:numPr>
        <w:shd w:val="clear" w:color="auto" w:fill="auto"/>
        <w:tabs>
          <w:tab w:pos="793" w:val="left"/>
        </w:tabs>
        <w:bidi w:val="0"/>
        <w:spacing w:before="0" w:after="0"/>
        <w:ind w:left="0" w:right="0" w:firstLine="560"/>
        <w:jc w:val="both"/>
      </w:pPr>
      <w:r>
        <w:rPr>
          <w:color w:val="000000"/>
          <w:spacing w:val="0"/>
          <w:w w:val="100"/>
          <w:position w:val="0"/>
          <w:shd w:val="clear" w:color="auto" w:fill="auto"/>
          <w:lang w:val="ru-RU" w:eastAsia="ru-RU" w:bidi="ru-RU"/>
        </w:rPr>
        <w:t>по позиции 6 Заказчиком не представлено информации и документов, подтверждающих наличие еще одного производителя.</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из представленных Заказчиком в материалы дела скриншотов, невозможно установить соответствие всех технических характеристик, указанных Заказчиком в описании объекта закупки. При этом, все имеющиеся в материалах дела информация и документы (описание объекта закупки, коммерческие предложения, заявки участников закупки) по позициям 1,2,3,5 и 6 указывают на конкретный товар одного производителя.</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 учётом изложенного выше, Комиссия приходит к выводу, что Заказчиком в материалы дела не представлено доказательств относительно того, какой товар, помимо коррегирующего материала В181СО 84 Ьщ111 (производства В181СО, Германия), цемента стоматологического стеклоиономерного «А111и1е+» (производства АНЬ, Великобритания), альгинальной слепочной массы Н ускорит 5 (производства Хйегшаск, Италия), материала стоматологического слепочного альгинатного ИеосоПоМ и ОгЙюргпй (производства Хйегтаск, Италия), оттискного материала для беззубых челюстей Керш (производства 8роГа Оеп1а1, Чехия) может удовлетворить потребности Заказчика.</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 Заказчик, сформировавший по позициям №1,2,3,5 и 6 описания объекта закупки под определенного производителя, допустил нарушение пункта 1 части 1 и часть 3 статьи 33, а также пункта 1 части 2 статьи 42 Закона о контрактной системе, что содержит признаки состава административного правонарушения, предусмотренного частью 4.1 статьи 7.30 КоАП.</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Кроме того, частью 3 статьи 99 Закона о контрактной системе установлено, что ФАС России осуществляет контроль в сфере закупок, за исключением контроля, предусмотренного частями 5, 8 и 10 статьи 99 Закона о контрактной системе.</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пунктом 3 части 8 статьи 99 Закона о контрактной системе закреплено,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связи с чем, Комиссия полагает необходимым направить информацию в отношении определения и обоснования начальной (максимальной) цены контракта (закупка №0380200000124006072) в орган внутреннего государственного финансового контроля для проведения проверки в рамках представленных полномочий.</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 учётом выявленных нарушений, Комиссией принято решение выдать субъектам контроля обязательное для исполнения предписание об аннулировании закупки.</w:t>
      </w:r>
    </w:p>
    <w:p>
      <w:pPr>
        <w:pStyle w:val="Style14"/>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основании изложенного и руководствуясь положениями Закона о контрактной системе, Комиссия,</w:t>
      </w:r>
    </w:p>
    <w:p>
      <w:pPr>
        <w:pStyle w:val="Style14"/>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11"/>
        </w:numPr>
        <w:shd w:val="clear" w:color="auto" w:fill="auto"/>
        <w:tabs>
          <w:tab w:pos="865" w:val="left"/>
        </w:tabs>
        <w:bidi w:val="0"/>
        <w:spacing w:before="0" w:after="0"/>
        <w:ind w:left="0" w:right="0" w:firstLine="560"/>
        <w:jc w:val="both"/>
      </w:pPr>
      <w:r>
        <w:rPr>
          <w:color w:val="000000"/>
          <w:spacing w:val="0"/>
          <w:w w:val="100"/>
          <w:position w:val="0"/>
          <w:shd w:val="clear" w:color="auto" w:fill="auto"/>
          <w:lang w:val="ru-RU" w:eastAsia="ru-RU" w:bidi="ru-RU"/>
        </w:rPr>
        <w:t>Признать жалобу ИП Немирович Т.Ю. необоснованной.</w:t>
      </w:r>
    </w:p>
    <w:p>
      <w:pPr>
        <w:pStyle w:val="Style14"/>
        <w:keepNext w:val="0"/>
        <w:keepLines w:val="0"/>
        <w:widowControl w:val="0"/>
        <w:numPr>
          <w:ilvl w:val="0"/>
          <w:numId w:val="11"/>
        </w:numPr>
        <w:shd w:val="clear" w:color="auto" w:fill="auto"/>
        <w:tabs>
          <w:tab w:pos="889" w:val="left"/>
        </w:tabs>
        <w:bidi w:val="0"/>
        <w:spacing w:before="0" w:after="0"/>
        <w:ind w:left="0" w:right="0" w:firstLine="560"/>
        <w:jc w:val="both"/>
      </w:pPr>
      <w:r>
        <w:rPr>
          <w:color w:val="000000"/>
          <w:spacing w:val="0"/>
          <w:w w:val="100"/>
          <w:position w:val="0"/>
          <w:shd w:val="clear" w:color="auto" w:fill="auto"/>
          <w:lang w:val="ru-RU" w:eastAsia="ru-RU" w:bidi="ru-RU"/>
        </w:rPr>
        <w:t>Признать Заказчика нарушившим пункт 1 части 1 и часть 3 статьи 33, а также пункт 1 части 2 статьи 42 Закона о контрактной системе.</w:t>
      </w:r>
    </w:p>
    <w:p>
      <w:pPr>
        <w:pStyle w:val="Style14"/>
        <w:keepNext w:val="0"/>
        <w:keepLines w:val="0"/>
        <w:widowControl w:val="0"/>
        <w:numPr>
          <w:ilvl w:val="0"/>
          <w:numId w:val="11"/>
        </w:numPr>
        <w:shd w:val="clear" w:color="auto" w:fill="auto"/>
        <w:tabs>
          <w:tab w:pos="889" w:val="left"/>
        </w:tabs>
        <w:bidi w:val="0"/>
        <w:spacing w:before="0" w:after="0"/>
        <w:ind w:left="0" w:right="0" w:firstLine="560"/>
        <w:jc w:val="both"/>
      </w:pPr>
      <w:r>
        <w:rPr>
          <w:color w:val="000000"/>
          <w:spacing w:val="0"/>
          <w:w w:val="100"/>
          <w:position w:val="0"/>
          <w:shd w:val="clear" w:color="auto" w:fill="auto"/>
          <w:lang w:val="ru-RU" w:eastAsia="ru-RU" w:bidi="ru-RU"/>
        </w:rPr>
        <w:t>Заказчику, Уполномоченному органу и его комиссии, а также оператору электронной площадки выдать предписание об аннулировании закупки.</w:t>
      </w:r>
    </w:p>
    <w:p>
      <w:pPr>
        <w:pStyle w:val="Style14"/>
        <w:keepNext w:val="0"/>
        <w:keepLines w:val="0"/>
        <w:widowControl w:val="0"/>
        <w:numPr>
          <w:ilvl w:val="0"/>
          <w:numId w:val="11"/>
        </w:numPr>
        <w:shd w:val="clear" w:color="auto" w:fill="auto"/>
        <w:tabs>
          <w:tab w:pos="936" w:val="left"/>
        </w:tabs>
        <w:bidi w:val="0"/>
        <w:spacing w:before="0" w:after="0"/>
        <w:ind w:left="0" w:right="0" w:firstLine="580"/>
        <w:jc w:val="both"/>
      </w:pPr>
      <w:r>
        <w:rPr>
          <w:color w:val="000000"/>
          <w:spacing w:val="0"/>
          <w:w w:val="100"/>
          <w:position w:val="0"/>
          <w:shd w:val="clear" w:color="auto" w:fill="auto"/>
          <w:lang w:val="ru-RU" w:eastAsia="ru-RU" w:bidi="ru-RU"/>
        </w:rPr>
        <w:t>Направить информацию по обоснованию начальной (максимальной) цены контракта в Министерство финансов Республики Хакасия для рассмотрения в рамках представленных полномочий.</w:t>
      </w:r>
    </w:p>
    <w:p>
      <w:pPr>
        <w:pStyle w:val="Style14"/>
        <w:keepNext w:val="0"/>
        <w:keepLines w:val="0"/>
        <w:widowControl w:val="0"/>
        <w:numPr>
          <w:ilvl w:val="0"/>
          <w:numId w:val="11"/>
        </w:numPr>
        <w:shd w:val="clear" w:color="auto" w:fill="auto"/>
        <w:tabs>
          <w:tab w:pos="931" w:val="left"/>
        </w:tabs>
        <w:bidi w:val="0"/>
        <w:spacing w:before="0" w:after="340"/>
        <w:ind w:left="0" w:right="0" w:firstLine="580"/>
        <w:jc w:val="both"/>
      </w:pPr>
      <w:r>
        <w:rPr>
          <w:color w:val="000000"/>
          <w:spacing w:val="0"/>
          <w:w w:val="100"/>
          <w:position w:val="0"/>
          <w:shd w:val="clear" w:color="auto" w:fill="auto"/>
          <w:lang w:val="ru-RU" w:eastAsia="ru-RU" w:bidi="ru-RU"/>
        </w:rPr>
        <w:t>Передать материалы дела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w:t>
      </w:r>
    </w:p>
    <w:p>
      <w:pPr>
        <w:pStyle w:val="Style27"/>
        <w:keepNext w:val="0"/>
        <w:keepLines w:val="0"/>
        <w:widowControl w:val="0"/>
        <w:shd w:val="clear" w:color="auto" w:fill="auto"/>
        <w:bidi w:val="0"/>
        <w:spacing w:before="0"/>
        <w:ind w:left="0" w:right="0"/>
        <w:jc w:val="both"/>
      </w:pPr>
      <w:r>
        <w:rPr>
          <w:color w:val="000000"/>
          <w:spacing w:val="0"/>
          <w:w w:val="100"/>
          <w:position w:val="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pStyle w:val="Style14"/>
        <w:keepNext w:val="0"/>
        <w:keepLines w:val="0"/>
        <w:widowControl w:val="0"/>
        <w:shd w:val="clear" w:color="auto" w:fill="auto"/>
        <w:bidi w:val="0"/>
        <w:spacing w:before="0" w:after="1340"/>
        <w:ind w:left="0" w:right="0" w:firstLine="0"/>
        <w:jc w:val="both"/>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929" w:right="511" w:bottom="753" w:left="108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9979025</wp:posOffset>
              </wp:positionV>
              <wp:extent cx="716280" cy="100330"/>
              <wp:wrapNone/>
              <wp:docPr id="4" name="Shape 4"/>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2024-10293</w:t>
                          </w:r>
                        </w:p>
                      </w:txbxContent>
                    </wps:txbx>
                    <wps:bodyPr wrap="none" lIns="0" tIns="0" rIns="0" bIns="0">
                      <a:spAutoFit/>
                    </wps:bodyPr>
                  </wps:wsp>
                </a:graphicData>
              </a:graphic>
            </wp:anchor>
          </w:drawing>
        </mc:Choice>
        <mc:Fallback>
          <w:pict>
            <v:shape id="_x0000_s1030" type="#_x0000_t202" style="position:absolute;margin-left:56.700000000000003pt;margin-top:785.7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716280" cy="100330"/>
              <wp:wrapNone/>
              <wp:docPr id="6" name="Shape 6"/>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2024-10293</w:t>
                          </w:r>
                        </w:p>
                      </w:txbxContent>
                    </wps:txbx>
                    <wps:bodyPr wrap="none" lIns="0" tIns="0" rIns="0" bIns="0">
                      <a:spAutoFit/>
                    </wps:bodyPr>
                  </wps:wsp>
                </a:graphicData>
              </a:graphic>
            </wp:anchor>
          </w:drawing>
        </mc:Choice>
        <mc:Fallback>
          <w:pict>
            <v:shape id="_x0000_s1032" type="#_x0000_t202" style="position:absolute;margin-left:57.pt;margin-top:776.20000000000005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3903980</wp:posOffset>
              </wp:positionH>
              <wp:positionV relativeFrom="page">
                <wp:posOffset>725170</wp:posOffset>
              </wp:positionV>
              <wp:extent cx="128270" cy="100330"/>
              <wp:wrapNone/>
              <wp:docPr id="2" name="Shape 2"/>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40000000000003pt;margin-top:57.100000000000001pt;width:1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95E8F"/>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95E8F"/>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48"/>
      <w:szCs w:val="48"/>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8">
    <w:name w:val="Основной текст (3)_"/>
    <w:basedOn w:val="DefaultParagraphFont"/>
    <w:link w:val="Style27"/>
    <w:rPr>
      <w:rFonts w:ascii="Times New Roman" w:eastAsia="Times New Roman" w:hAnsi="Times New Roman" w:cs="Times New Roman"/>
      <w:b w:val="0"/>
      <w:bCs w:val="0"/>
      <w:i/>
      <w:iCs/>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60" w:line="278" w:lineRule="auto"/>
      <w:jc w:val="center"/>
    </w:pPr>
    <w:rPr>
      <w:rFonts w:ascii="Times New Roman" w:eastAsia="Times New Roman" w:hAnsi="Times New Roman" w:cs="Times New Roman"/>
      <w:b w:val="0"/>
      <w:bCs w:val="0"/>
      <w:i w:val="0"/>
      <w:iCs w:val="0"/>
      <w:smallCaps w:val="0"/>
      <w:strike w:val="0"/>
      <w:color w:val="495E8F"/>
      <w:sz w:val="16"/>
      <w:szCs w:val="16"/>
      <w:u w:val="none"/>
    </w:rPr>
  </w:style>
  <w:style w:type="paragraph" w:customStyle="1" w:styleId="Style8">
    <w:name w:val="Основной текст (4)"/>
    <w:basedOn w:val="Normal"/>
    <w:link w:val="CharStyle9"/>
    <w:pPr>
      <w:widowControl w:val="0"/>
      <w:shd w:val="clear" w:color="auto" w:fill="auto"/>
      <w:spacing w:after="160" w:line="254" w:lineRule="auto"/>
      <w:jc w:val="center"/>
    </w:pPr>
    <w:rPr>
      <w:rFonts w:ascii="Times New Roman" w:eastAsia="Times New Roman" w:hAnsi="Times New Roman" w:cs="Times New Roman"/>
      <w:b/>
      <w:bCs/>
      <w:i w:val="0"/>
      <w:iCs w:val="0"/>
      <w:smallCaps w:val="0"/>
      <w:strike w:val="0"/>
      <w:color w:val="495E8F"/>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Заголовок №1"/>
    <w:basedOn w:val="Normal"/>
    <w:link w:val="CharStyle22"/>
    <w:pPr>
      <w:widowControl w:val="0"/>
      <w:shd w:val="clear" w:color="auto" w:fill="auto"/>
      <w:spacing w:after="360"/>
      <w:outlineLvl w:val="0"/>
    </w:pPr>
    <w:rPr>
      <w:rFonts w:ascii="Arial" w:eastAsia="Arial" w:hAnsi="Arial" w:cs="Arial"/>
      <w:b w:val="0"/>
      <w:bCs w:val="0"/>
      <w:i w:val="0"/>
      <w:iCs w:val="0"/>
      <w:smallCaps w:val="0"/>
      <w:strike w:val="0"/>
      <w:sz w:val="48"/>
      <w:szCs w:val="48"/>
      <w:u w:val="none"/>
    </w:rPr>
  </w:style>
  <w:style w:type="paragraph" w:customStyle="1" w:styleId="Style24">
    <w:name w:val="Другое"/>
    <w:basedOn w:val="Normal"/>
    <w:link w:val="CharStyle25"/>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7">
    <w:name w:val="Основной текст (3)"/>
    <w:basedOn w:val="Normal"/>
    <w:link w:val="CharStyle28"/>
    <w:pPr>
      <w:widowControl w:val="0"/>
      <w:shd w:val="clear" w:color="auto" w:fill="auto"/>
      <w:spacing w:after="660" w:line="276" w:lineRule="auto"/>
      <w:ind w:firstLine="580"/>
    </w:pPr>
    <w:rPr>
      <w:rFonts w:ascii="Times New Roman" w:eastAsia="Times New Roman" w:hAnsi="Times New Roman" w:cs="Times New Roman"/>
      <w:b w:val="0"/>
      <w:bCs w:val="0"/>
      <w:i/>
      <w:iCs/>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Решение Хакасского УФАС России от 24.11.2023 N 019/06/99-1242/2023Нарушение: п. 1 ч. 1 и ч. 3 ст. 33, ч. 27 ст. 34, п. 1 ч. 2 ст. 42 Закона о контрактной системе.Решение: Предписание не выдавать; передать материалы дела должностному лицу для решения вопроса о возбуждении дела об административном правонарушении.</dc:title>
  <dc:subject/>
  <dc:creator/>
  <cp:keywords/>
</cp:coreProperties>
</file>