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1о24й,Тах.ао\'.ги</w:t>
      </w:r>
    </w:p>
    <w:p>
      <w:pPr>
        <w:pStyle w:val="Style8"/>
        <w:keepNext w:val="0"/>
        <w:keepLines w:val="0"/>
        <w:widowControl w:val="0"/>
        <w:shd w:val="clear" w:color="auto" w:fill="auto"/>
        <w:tabs>
          <w:tab w:leader="underscore" w:pos="1762" w:val="left"/>
          <w:tab w:leader="underscore" w:pos="3926" w:val="left"/>
        </w:tabs>
        <w:bidi w:val="0"/>
        <w:spacing w:before="0" w:after="240" w:line="264" w:lineRule="auto"/>
        <w:ind w:left="0" w:right="0" w:firstLine="0"/>
        <w:jc w:val="both"/>
        <w:rPr>
          <w:sz w:val="18"/>
          <w:szCs w:val="18"/>
        </w:rPr>
      </w:pPr>
      <w:r>
        <w:rPr>
          <w:b w:val="0"/>
          <w:bCs w:val="0"/>
          <w:spacing w:val="0"/>
          <w:w w:val="100"/>
          <w:position w:val="0"/>
          <w:sz w:val="18"/>
          <w:szCs w:val="18"/>
          <w:shd w:val="clear" w:color="auto" w:fill="auto"/>
          <w:lang w:val="ru-RU" w:eastAsia="ru-RU" w:bidi="ru-RU"/>
        </w:rPr>
        <w:tab/>
        <w:t xml:space="preserve"> №</w:t>
        <w:tab/>
      </w:r>
    </w:p>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«Конструктив»</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ул. Мира, д.62/4, оф.202,</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Новосибирск, 630033</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1п1о@|а1и/еНа.ги; т1г_|а1и/у@та|1.ги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Агентство государственного заказа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Красноярского края</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Мира пр-т.,д. 19, г. Красноярск, 660049.</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ад/ уауПкта@таП. ги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КГБУЗ «Таймырская межрайонная больница»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ул. Островского, д. 14/корпус В,</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Дудинка, 647000</w:t>
      </w:r>
    </w:p>
    <w:p>
      <w:pPr>
        <w:pStyle w:val="Style13"/>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оди/!оЪ@уап4ех.ги; 1сгЪ09@гатЫег.ги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«ТЭК - Торг»</w:t>
      </w:r>
    </w:p>
    <w:p>
      <w:pPr>
        <w:pStyle w:val="Style13"/>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84" w:right="1069" w:bottom="1207" w:left="1140" w:header="0" w:footer="3" w:gutter="0"/>
          <w:pgNumType w:start="1"/>
          <w:cols w:num="2" w:space="830"/>
          <w:noEndnote/>
          <w:titlePg/>
          <w:rtlGutter w:val="0"/>
          <w:docGrid w:linePitch="360"/>
        </w:sectPr>
      </w:pPr>
      <w:r>
        <w:rPr>
          <w:color w:val="000000"/>
          <w:spacing w:val="0"/>
          <w:w w:val="100"/>
          <w:position w:val="0"/>
          <w:shd w:val="clear" w:color="auto" w:fill="auto"/>
          <w:lang w:val="ru-RU" w:eastAsia="ru-RU" w:bidi="ru-RU"/>
        </w:rPr>
        <w:t>Ие1р@1ек1огд.ги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5" w:after="1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15" w:right="0" w:bottom="1177" w:left="0" w:header="0" w:footer="3" w:gutter="0"/>
          <w:cols w:space="720"/>
          <w:noEndnote/>
          <w:rtlGutter w:val="0"/>
          <w:docGrid w:linePitch="360"/>
        </w:sectPr>
      </w:pPr>
    </w:p>
    <w:p>
      <w:pPr>
        <w:pStyle w:val="Style13"/>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Решение №024/06/106-3257/2024</w:t>
      </w:r>
    </w:p>
    <w:p>
      <w:pPr>
        <w:pStyle w:val="Style13"/>
        <w:keepNext w:val="0"/>
        <w:keepLines w:val="0"/>
        <w:widowControl w:val="0"/>
        <w:shd w:val="clear" w:color="auto" w:fill="auto"/>
        <w:bidi w:val="0"/>
        <w:spacing w:before="0" w:after="28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5905500</wp:posOffset>
                </wp:positionH>
                <wp:positionV relativeFrom="paragraph">
                  <wp:posOffset>12700</wp:posOffset>
                </wp:positionV>
                <wp:extent cx="987425" cy="228600"/>
                <wp:wrapSquare wrapText="left"/>
                <wp:docPr id="7" name="Shape 7"/>
                <a:graphic xmlns:a="http://schemas.openxmlformats.org/drawingml/2006/main">
                  <a:graphicData uri="http://schemas.microsoft.com/office/word/2010/wordprocessingShape">
                    <wps:wsp>
                      <wps:cNvSpPr txBox="1"/>
                      <wps:spPr>
                        <a:xfrm>
                          <a:ext cx="987425" cy="22860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Красноярск</w:t>
                            </w:r>
                          </w:p>
                        </w:txbxContent>
                      </wps:txbx>
                      <wps:bodyPr wrap="none" lIns="0" tIns="0" rIns="0" bIns="0">
                        <a:noAutoFit/>
                      </wps:bodyPr>
                    </wps:wsp>
                  </a:graphicData>
                </a:graphic>
              </wp:anchor>
            </w:drawing>
          </mc:Choice>
          <mc:Fallback>
            <w:pict>
              <v:shape id="_x0000_s1033" type="#_x0000_t202" style="position:absolute;margin-left:465.pt;margin-top:1.pt;width:77.75pt;height:18.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Красноярск</w:t>
                      </w:r>
                    </w:p>
                  </w:txbxContent>
                </v:textbox>
                <w10:wrap type="square" side="left" anchorx="page"/>
              </v:shape>
            </w:pict>
          </mc:Fallback>
        </mc:AlternateContent>
      </w:r>
      <w:r>
        <w:rPr>
          <w:color w:val="000000"/>
          <w:spacing w:val="0"/>
          <w:w w:val="100"/>
          <w:position w:val="0"/>
          <w:shd w:val="clear" w:color="auto" w:fill="auto"/>
          <w:lang w:val="ru-RU" w:eastAsia="ru-RU" w:bidi="ru-RU"/>
        </w:rPr>
        <w:t>22 октября 2024 года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Красноярского УФАС России по контролю в сфере закупок в составе: Председатель - заместитель руководителя, М.А. Дударева, члены Комиссии — врио начальника отдела, Е.А. Шмыгина, ведущий специалист-эксперт А.А. Грузиненко (далее - Комиссия), рассмотрев жалобу ООО «Конструктив» (далее - податель жалобы) на действия заказчика - Краевого государственного бюджетного учреждения здравоохранения «Таймырская межрайонная больница» (далее - заказчик), уполномоченного органа — Агентства государственного заказа Красноярского края (далее — уполномоченный орган) при проведении электронного аукциона ЭА-№-15825/24 «Поставка оконных жалюзи» (далее - аукцион), извещение №0119200000124014889, на электронной торговой площадке ЭТП ТЭК-Торг (далее - оператор электронной площадки), установила следующее.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адрес Красноярского УФАС России поступила жалоба ООО «Конструктив» на действия аукционной комиссии уполномоченного органа, заказчика при проведении электронного аукциона, размещенного на электронной торговой площадке ЭТП «ТЭК- Торг» (далее - оператор электронной площадки), номер извещения 0119200000124014889.</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Существо жалобы: нарушение аукционной комиссией порядка рассмотрения заявок участников электронного аукциона.</w:t>
      </w:r>
    </w:p>
    <w:p>
      <w:pPr>
        <w:pStyle w:val="Style13"/>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Жалоба подана в Красноярское УФАС России в срок, установленный частью 2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p>
    <w:p>
      <w:pPr>
        <w:pStyle w:val="Style15"/>
        <w:keepNext/>
        <w:keepLines/>
        <w:widowControl w:val="0"/>
        <w:shd w:val="clear" w:color="auto" w:fill="auto"/>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111111111111111111111111</w:t>
      </w:r>
      <w:bookmarkEnd w:id="0"/>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Закон о контрактной системе), соответствовала требованиям статьи 105 указанного закона, в связи с чем была принята к рассмотрению.</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адреса подателя жалобы, заказчика, уполномоченного органа, оператора электронной площадки было направлено уведомление о содержании жалобы с информацией о месте и времени ее рассмотрения.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Заказчику, уполномоченному органу, оператору электронной площадки было предложено предоставить в адрес Красноярского УФАС России документы и сведения, необходимые для рассмотрения жалобы по существу.</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Явку своих представителей на заседание Комиссии по рассмотрению жалобы по существу податель жалобы, уполномоченный орган обеспечили, податель жалобы заявил ходатайство о рассмотрении жалобы посредством ВКС. Заказчик направил в адрес Красноярского УФАС России ходатайство о рассмотрении дела в его отсутствии.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содержании жалобы указан следующий довод:</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по мнению подателя жалобы, заявка победителя аукциона была неправомерно допущена до участия аукционной комиссией.</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Заказчиком, уполномоченным органом были представлены письменные возражения с приложением подтверждающих документов в отношении доводов жалобы, из которых следует, что аукционная комиссия рассматривала заявки участников в соответствии с требованиями 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связи с возникшей у заказчика потребностью уполномоченным органом были совершены действия по определению поставщика (подрядчика, исполнителя) путем проведения аукциона в электронной форме «Поставка оконных жалюзи».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 2 части 1 статьи 1).</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если иное не предусмотрено настоящим Законом о контрактной системе, должно содержать описание объекта закупки в соответствии со статьей 33 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пункту 15 части 1 статьи 42 Закона о контрактной системе извещение об осуществлении закупки, если иное не предусмотрено настоящим Законом о контрактной системе,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w:t>
      </w:r>
      <w:r>
        <w:rPr>
          <w:color w:val="000000"/>
          <w:spacing w:val="0"/>
          <w:w w:val="100"/>
          <w:position w:val="0"/>
          <w:shd w:val="clear" w:color="auto" w:fill="auto"/>
          <w:lang w:val="ru-RU" w:eastAsia="ru-RU" w:bidi="ru-RU"/>
        </w:rPr>
        <w:t>лицами, в случае, если такие условия, запреты и ограничения установлены в соответствии со статьей 14 Закона о контрактной системе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3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следующие электронные документы: требования к содержанию, составу заявки на участие в закупке в соответствии с Законом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закупки.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 основании анализа положений извещения о проведении электронного аукциона, сформированных с использованием ЕИС при заполнении экранных форм веб-интерфейса ЕИС (часть 1 статьи 42 Закона о контрактной системе, пункт 3 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27.01.2022 № 60), а также при прикреплении электронных документов (часть 2 статьи 42 Закона о контрактной системе, пункт 4 вышеуказанного Положения), Комиссия установила, что заказчиком осуществляется закупка оконных жалюзи (ОКПД2 — 13.92.22.120).</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пункту 5 части 1 статьи 43 Закона о контрактной системе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части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w:t>
      </w:r>
      <w:r>
        <w:rPr>
          <w:color w:val="000000"/>
          <w:spacing w:val="0"/>
          <w:w w:val="100"/>
          <w:position w:val="0"/>
          <w:shd w:val="clear" w:color="auto" w:fill="auto"/>
          <w:lang w:val="ru-RU" w:eastAsia="ru-RU" w:bidi="ru-RU"/>
        </w:rPr>
        <w:t>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пункту 1 Постановления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утвержден перечень промышленных товаров, на которые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позиции 2 данного перечня продукция, имеющая ОКПД2 13.92.22.120 включена в перечень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 6 Постановления Правительства РФ № 616 в целях реализации настоящего постановления:</w:t>
      </w:r>
    </w:p>
    <w:p>
      <w:pPr>
        <w:pStyle w:val="Style13"/>
        <w:keepNext w:val="0"/>
        <w:keepLines w:val="0"/>
        <w:widowControl w:val="0"/>
        <w:numPr>
          <w:ilvl w:val="0"/>
          <w:numId w:val="1"/>
        </w:numPr>
        <w:shd w:val="clear" w:color="auto" w:fill="auto"/>
        <w:tabs>
          <w:tab w:pos="898"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w:t>
      </w:r>
    </w:p>
    <w:p>
      <w:pPr>
        <w:pStyle w:val="Style13"/>
        <w:keepNext w:val="0"/>
        <w:keepLines w:val="0"/>
        <w:widowControl w:val="0"/>
        <w:numPr>
          <w:ilvl w:val="0"/>
          <w:numId w:val="1"/>
        </w:numPr>
        <w:shd w:val="clear" w:color="auto" w:fill="auto"/>
        <w:tabs>
          <w:tab w:pos="92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евразийском реестре промышленных товаров государств членов Евразийского экономического союза, порядок формирования и ведения которого устанавливается правом Евразийского экономического союза (далее евразийский реестр промышленных товаров).</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пункту 10 Постановления № 616 для подтверждения соответствия закупки промышленных товаров требованиям, участник закупки указывает (декларирует) в составе заявки на участие в закупке номера реестровых записей из реестра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РФ от 17.07.2015 ^ 719 «О подтверждении производства российской промышленной продукции» (Далее —</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Постановление № 719).</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подпункту а пункта 1 части 5 статьи 49 Закона о контрактной системе аукционная комиссия при рассмотрении заявок на участие в закупке принимает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Проведя анализ заявок, представленных уполномоченным органом и оператором электронной площадки на участие в данном аукционе, Комиссия Красноярского УФАС России установила следующее.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 участие в закупке было подано 3 заявки. В составе заявки ООО «Махаон» согласно представленным оператором электронной площадки заявкам отсутствовали реестровые выписки, требуемые в соответствии с Постановлением № 616.</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то же время, согласно протоколу подведения итогов определения поставщика (подрядчика, исполнителя), все заявки участников аукциона являются обезличенными. Заявки участников в протоколе указаны с идентификационными номерами. После изучения аукционной комиссией состава заявок одна заявка была отклонена, а двум другим были присвоены порядковые номера.</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Однако, протокол не содержит информации о том, под какими номерами указаны участники закупки, в связи с чем, Комиссия не имеет возможности только из анализа протокола идентифицировать участника закупки, чья заявка была отклонена. Также уполномоченным органом представлены заявки участников закупки в форме папок с документами, подписанными наименованиями участников. В то же время в них отсутствует указание на идентификационные и порядковые номера участников.</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При рассмотрении материалов жалобы № 024/06/106-3036/2024 уполномоченным органом было указано, что аукционная комиссия должна была отклонить участника с номером 2, однако в протоколе подведения итогов имелся идентификационный номер 2 и порядковый номер 2, закрепленные за разными участниками закупки.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Также в материалы дела от оператора электронной площадки был представлен электронный документ в формате таблицы «информация об участниках». Данный электронный документ не содержал информации «идентификационный номер участника», в нем содержится только информация о «порядковом номере заявки», при этом 1 и 2 части заявок имеют свой собственный порядковый номер. При этом оператором электронной площадки были представлены заявки участников, которые были определены шестизначными номерами. Данные номера более нигде не указаны, что не позволяет с их помощью идентифицировать участников закупки.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связи с этим Комиссией Красноярского УФАС России при рассмотрении дела № 024/06/106-3036/2024 был сделан ошибочный вывод о неправомерности действий аукционной комиссии, совершенных при рассмотрении заявок. Вместе с тем, при рассмотрении настоящей жалобы Комиссией был проведен повторный анализ таблицы и протокола подведения итогов. При повторном анализе Комиссия провела сличение заявок, представленных оператором электронной площадки, с заявками, представленными уполномоченным органом и установила, что порядковый номер 2, который был отклонен согласно протоколу подведения итогов, первично присвоен ООО «Махаон». Проведя оценку заявки ООО «Махаон», Комиссия установила, что в составе заявки отсутствуют реестровые записи по Постановлению № 616.</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Также уполномоченный орган в своих пояснениях указал, что аукционной комиссией был отклонен участник закупки с идентификационным номером 2, под которым было закреплено ООО «Махаон». В связи с указанным Комиссия приходит к выводу, что </w:t>
      </w:r>
      <w:r>
        <w:rPr>
          <w:color w:val="000000"/>
          <w:spacing w:val="0"/>
          <w:w w:val="100"/>
          <w:position w:val="0"/>
          <w:shd w:val="clear" w:color="auto" w:fill="auto"/>
          <w:lang w:val="ru-RU" w:eastAsia="ru-RU" w:bidi="ru-RU"/>
        </w:rPr>
        <w:t>аукционной комиссией при составлении протокола подведения итогов было действительно отклонено ООО «Махаон», в составе заявки которого отсутствуют выписки реестровых записей.</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то же время, при проведении анализа заявки ИП Свидерского В.А., являющегося победителем закупки, Комиссия установила, что в составе его заявки присутствуют выписки из реестра российской промышленной продукции на все предлагаемые товары.</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связи с этим довод подателя жалобы об отсутствии выписок из реестра российской промышленной продукции в заявке победителя закупки является необоснованным.</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частями 3, 15, 22 статьи 99, частью 8 статьи 106 Закона о контрактной системе, Комиссия Красноярского УФАС России приняла решение признать жалобу ООО «Конструктив» необоснованной.</w:t>
      </w:r>
    </w:p>
    <w:p>
      <w:pPr>
        <w:pStyle w:val="Style13"/>
        <w:keepNext w:val="0"/>
        <w:keepLines w:val="0"/>
        <w:widowControl w:val="0"/>
        <w:shd w:val="clear" w:color="auto" w:fill="auto"/>
        <w:bidi w:val="0"/>
        <w:spacing w:before="0" w:after="320" w:line="240" w:lineRule="auto"/>
        <w:ind w:left="0" w:right="0" w:firstLine="580"/>
        <w:jc w:val="both"/>
      </w:pPr>
      <w:r>
        <w:rPr>
          <w:color w:val="000000"/>
          <w:spacing w:val="0"/>
          <w:w w:val="100"/>
          <w:position w:val="0"/>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Председатель Комиссии</w:t>
      </w:r>
    </w:p>
    <w:p>
      <w:pPr>
        <w:pStyle w:val="Style13"/>
        <w:keepNext w:val="0"/>
        <w:keepLines w:val="0"/>
        <w:widowControl w:val="0"/>
        <w:shd w:val="clear" w:color="auto" w:fill="auto"/>
        <w:bidi w:val="0"/>
        <w:spacing w:before="0" w:after="80" w:line="180" w:lineRule="auto"/>
        <w:ind w:left="0" w:right="0" w:firstLine="0"/>
        <w:jc w:val="right"/>
      </w:pPr>
      <w:r>
        <w:rPr>
          <w:color w:val="000000"/>
          <w:spacing w:val="0"/>
          <w:w w:val="100"/>
          <w:position w:val="0"/>
          <w:shd w:val="clear" w:color="auto" w:fill="auto"/>
          <w:lang w:val="ru-RU" w:eastAsia="ru-RU" w:bidi="ru-RU"/>
        </w:rPr>
        <w:t>М.А. Дударева</w:t>
      </w:r>
    </w:p>
    <w:p>
      <w:pPr>
        <w:pStyle w:val="Style13"/>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13"/>
        <w:keepNext w:val="0"/>
        <w:keepLines w:val="0"/>
        <w:widowControl w:val="0"/>
        <w:shd w:val="clear" w:color="auto" w:fill="auto"/>
        <w:bidi w:val="0"/>
        <w:spacing w:before="0" w:after="420" w:line="240" w:lineRule="auto"/>
        <w:ind w:left="0" w:right="0" w:firstLine="0"/>
        <w:jc w:val="right"/>
      </w:pPr>
      <w:r>
        <w:rPr>
          <w:color w:val="000000"/>
          <w:spacing w:val="0"/>
          <w:w w:val="100"/>
          <w:position w:val="0"/>
          <w:shd w:val="clear" w:color="auto" w:fill="auto"/>
          <w:lang w:val="ru-RU" w:eastAsia="ru-RU" w:bidi="ru-RU"/>
        </w:rPr>
        <w:t>Е.А. Шмыгина</w:t>
      </w:r>
    </w:p>
    <w:p>
      <w:pPr>
        <w:pStyle w:val="Style13"/>
        <w:keepNext w:val="0"/>
        <w:keepLines w:val="0"/>
        <w:widowControl w:val="0"/>
        <w:shd w:val="clear" w:color="auto" w:fill="auto"/>
        <w:bidi w:val="0"/>
        <w:spacing w:before="0" w:after="7220" w:line="240" w:lineRule="auto"/>
        <w:ind w:left="0" w:right="0" w:firstLine="0"/>
        <w:jc w:val="right"/>
      </w:pPr>
      <w:r>
        <w:rPr>
          <w:color w:val="000000"/>
          <w:spacing w:val="0"/>
          <w:w w:val="100"/>
          <w:position w:val="0"/>
          <w:shd w:val="clear" w:color="auto" w:fill="auto"/>
          <w:lang w:val="ru-RU" w:eastAsia="ru-RU" w:bidi="ru-RU"/>
        </w:rPr>
        <w:t>А.А. Грузиненко</w:t>
      </w:r>
    </w:p>
    <w:p>
      <w:pPr>
        <w:pStyle w:val="Style17"/>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Исп.Грузиненко А.А. тел.211-01-44</w:t>
      </w:r>
    </w:p>
    <w:sectPr>
      <w:footnotePr>
        <w:pos w:val="pageBottom"/>
        <w:numFmt w:val="decimal"/>
        <w:numRestart w:val="continuous"/>
      </w:footnotePr>
      <w:type w:val="continuous"/>
      <w:pgSz w:w="11900" w:h="16840"/>
      <w:pgMar w:top="315" w:right="540" w:bottom="1177" w:left="109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10012680</wp:posOffset>
              </wp:positionV>
              <wp:extent cx="3267710" cy="103505"/>
              <wp:wrapNone/>
              <wp:docPr id="3" name="Shape 3"/>
              <a:graphic xmlns:a="http://schemas.openxmlformats.org/drawingml/2006/main">
                <a:graphicData uri="http://schemas.microsoft.com/office/word/2010/wordprocessingShape">
                  <wps:wsp>
                    <wps:cNvSpPr txBox="1"/>
                    <wps:spPr>
                      <a:xfrm>
                        <a:ext cx="3267710" cy="103505"/>
                      </a:xfrm>
                      <a:prstGeom prst="rect"/>
                      <a:noFill/>
                    </wps:spPr>
                    <wps:txbx>
                      <w:txbxContent>
                        <w:p>
                          <w:pPr>
                            <w:pStyle w:val="Style2"/>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2024-17902</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950000000000003pt;margin-top:788.39999999999998pt;width:257.30000000000001pt;height:8.1500000000000004pt;z-index:-18874406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2024-17902</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2024-17902</w:t>
                          </w:r>
                        </w:p>
                      </w:txbxContent>
                    </wps:txbx>
                    <wps:bodyPr wrap="none" lIns="0" tIns="0" rIns="0" bIns="0">
                      <a:spAutoFit/>
                    </wps:bodyPr>
                  </wps:wsp>
                </a:graphicData>
              </a:graphic>
            </wp:anchor>
          </w:drawing>
        </mc:Choice>
        <mc:Fallback>
          <w:pict>
            <v:shape id="_x0000_s1031"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2024-17902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42"/>
      <w:szCs w:val="42"/>
      <w:u w:val="none"/>
    </w:rPr>
  </w:style>
  <w:style w:type="character" w:customStyle="1" w:styleId="CharStyle18">
    <w:name w:val="Основной текст (4)_"/>
    <w:basedOn w:val="DefaultParagraphFont"/>
    <w:link w:val="Style17"/>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3)"/>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1">
    <w:name w:val="Подпись к картинке"/>
    <w:basedOn w:val="Normal"/>
    <w:link w:val="CharStyle12"/>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5">
    <w:name w:val="Заголовок №1"/>
    <w:basedOn w:val="Normal"/>
    <w:link w:val="CharStyle16"/>
    <w:pPr>
      <w:widowControl w:val="0"/>
      <w:shd w:val="clear" w:color="auto" w:fill="auto"/>
      <w:spacing w:after="280"/>
      <w:outlineLvl w:val="0"/>
    </w:pPr>
    <w:rPr>
      <w:rFonts w:ascii="Arial" w:eastAsia="Arial" w:hAnsi="Arial" w:cs="Arial"/>
      <w:b w:val="0"/>
      <w:bCs w:val="0"/>
      <w:i w:val="0"/>
      <w:iCs w:val="0"/>
      <w:smallCaps w:val="0"/>
      <w:strike w:val="0"/>
      <w:sz w:val="42"/>
      <w:szCs w:val="42"/>
      <w:u w:val="none"/>
    </w:rPr>
  </w:style>
  <w:style w:type="paragraph" w:customStyle="1" w:styleId="Style17">
    <w:name w:val="Основной текст (4)"/>
    <w:basedOn w:val="Normal"/>
    <w:link w:val="CharStyle18"/>
    <w:pPr>
      <w:widowControl w:val="0"/>
      <w:shd w:val="clear" w:color="auto" w:fill="auto"/>
      <w:spacing w:after="32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