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5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64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28.10.2024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ОШ/9729/2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4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результатам рассмотрения жалобы №019/06/106- 1522/2024 (ИП Филиппова П.А.)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 - ИП Филипповой П.А.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комитету по регулированию контрактной системы в сфере закупок Республики Хакасия и его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 -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казенному учреждению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540" w:line="264" w:lineRule="auto"/>
        <w:ind w:left="0" w:right="0" w:firstLine="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Республики Хакасия «Управление автомобильных дорог Республики Хакасия»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632" w:bottom="1217" w:left="1140" w:header="0" w:footer="3" w:gutter="0"/>
          <w:pgNumType w:start="1"/>
          <w:cols w:num="2" w:space="720" w:equalWidth="0">
            <w:col w:w="4310" w:space="955"/>
            <w:col w:w="4862"/>
          </w:cols>
          <w:noEndnote/>
          <w:titlePg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ООО «РТС-тендер»</w:t>
      </w:r>
    </w:p>
    <w:p>
      <w:pPr>
        <w:widowControl w:val="0"/>
        <w:spacing w:before="78" w:after="7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18" w:right="0" w:bottom="784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0" w:right="1160" w:firstLine="0"/>
        <w:jc w:val="righ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№ 0380200000124005843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019/06/106-1522/2024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6463030</wp:posOffset>
                </wp:positionH>
                <wp:positionV relativeFrom="paragraph">
                  <wp:posOffset>12700</wp:posOffset>
                </wp:positionV>
                <wp:extent cx="722630" cy="216535"/>
                <wp:wrapSquare wrapText="left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263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Абакан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08.90000000000003pt;margin-top:1.pt;width:56.899999999999999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Абакан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«23» октября 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в составе (далее - Комиссия):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6701" w:val="left"/>
        </w:tabs>
        <w:bidi w:val="0"/>
        <w:spacing w:before="0" w:after="0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заседание комиссии</w:t>
        <w:tab/>
        <w:t>заместителя руководителя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5726" w:val="left"/>
        </w:tabs>
        <w:bidi w:val="0"/>
        <w:spacing w:before="0" w:after="0"/>
        <w:ind w:left="0" w:right="0" w:firstLine="3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управления; Членов комиссии:</w:t>
        <w:tab/>
        <w:t>начальника отдела контроля закупок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60"/>
        <w:ind w:left="0" w:right="0" w:firstLine="39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антимонопольного контроля органов власти; ведущего специалиста-эксперта отдела антимонопольного законодательства и рекламы;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участии представителей: государственного заказчика.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 Государственного казенного учреждения Республики Хакасия «Управление автомобильных дорог Республики Хакасия» (далее — ГКУ РХ «Хакасавтодор», Заказчик): , на основании доверенности № 32 от 23.10.2024;</w:t>
      </w:r>
    </w:p>
    <w:p>
      <w:pPr>
        <w:pStyle w:val="Style2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2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на основании доверенности № 31 от 23.10.2024;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уполномоченного органа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Государственного комитета по регулированию контрактной системы в сфере закупок Республики Хакасия (далее - Госкомитет, уполномоченный орган):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4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доверенности № 5 от 23.01.2024;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отсутствии Заявителя -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Индивидуального предпринимателя Филипповой Полины Александровны (далее - ИП Филиппова П.А., Заявитель, Предприниматель), извещенного надлежащим образом о месте и времени рассмотрения жалобы и направившего ходатайство о рассмотрении жалобы в отсутствии ИП Филипповой П.А.,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посредством видео-конференц-связи жалобу ИП Филипповой П.А. на действия Заказчика при проведении электронного аукциона на выполнение работ по ремонту автомобильной дороги Куйбышево - Койбалы на участке км 0+000 - км 8+000 в Бейском районе Республики Хакасия (извещение № 0380200000124005843) (далее - Аукцион), и в результате осуществления внеплановой проверки в соответствии с пунктом 1 части 15 статьи 99 Федерального закона от 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Хакасское УФАС России посредством ЕИС 17.10.2024 (зарегистрирована 17.10.2024 вх. № 10827/24) поступила жалоба Заявителя на действия Заказчика при заключении контракта с победителем Аукциона - ИП Филипповой П.А., которая направила в адрес Заказчика протокол разногласий, однако получила отказ в предоставлении к контракту локального сметного расчета (по цене выигранного контракта без НДС). Заявитель считает, что в соответствии со статьёй 110.2 Закона о контрактной системе Заказчик обязан разместить проект контракта со всеми приложениями, в том числе, и с откорректированным локальным сметным расчетом.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материалы дела Заказчиком (вх. № ПОП-ЭП/24 от 18.10.2024) и Уполномоченным органом (вх. № 10996-ЭП/24 от 18.10.2024) представлены письменные пояснения, запрашиваемые документы.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Предпринимателя поступили дополнительные документы к жалобе (вх. № 10991-ЭП/24 от 18.10.2024, №10950-ЭП/24 от 18.10.2024).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результате рассмотрения жалобы и осуществления в соответствии с пунктом 1 части 15 статьи 99 Закона о контрактной системе внеплановой проверки, Комиссия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об осуществлении закупки, электронными документами к нему, протоколами, составленными при определении поставщика (подрядчика, исполнителя):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05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извещение об осуществлении закупки размещено в ЕИС - 23.09.2024;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- 33 286 679,69 рублей;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4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способ определения поставщика (подрядчика, исполнителя) — Аукцион;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9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01.10.2024 07:00;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проведения процедуры подачи предложений о цене контракта либо о сумме цен единиц товара, работы, услуги 01.10.2024;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03.10.2024;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40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Протоколом подачи ценовых предложений от 01.10.2024 №ЦПА1 на участие в закупке подали ценовые предложения 4 (четыре) участника аукциона. Наилучшее ценовое предложение поступило от участника закупки с идентификационным номером 117358019 и составило 21 969 208,49 руб. (снижение от НМЦК - 34%);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от 03.10.2024 №ИЭА1 заявки всех участников аукциона были признаны соответствующими требования извещения.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аукциона признан участник закупки идентификационный № 117358019 (ИП Филиппова П.А.) с ценовым предложением 21 969 208,49 руб.</w:t>
      </w:r>
    </w:p>
    <w:p>
      <w:pPr>
        <w:pStyle w:val="Style1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24" w:val="left"/>
        </w:tabs>
        <w:bidi w:val="0"/>
        <w:spacing w:before="0" w:after="36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момент рассмотрения жалобы Контракт не заключен.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1 статьи 34 Закона о контрактной системе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Контракт заключается на условиях, предусмотренных извещением об осуществлении закупки или приглашением,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документацией о закупке, заявкой участника закупки, с которым 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приглашение, документация о закупке, заявка не предусмотрены.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5 части 2 статьи 42 Закона о контрактной системе предусмотрено, что Извещение об осуществлении закупки, если иное не предусмотрено настоящим Федеральным законом, должно содержать такой электронный документ как проект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Частью 1 статьи 51 Закона о контрактной системе установлено, что по результатам электронной процедуры контракт заключается с победителем определения поставщика (подрядчика, исполнителя), а в случаях, предусмотренных настоящим Федеральным законом, с иным участником закупки (далее в настоящей статье - участник закупки, с которым заключается контракт) не ранее чем через десять дней (если настоящим Федеральным законом не установлено иное) с даты размещения в единой информационной системе протокола подведения итогов определения поставщика (подрядчика, исполнителя), протокола, предусмотренного подпунктом "а" пункта 2 части 6 настоящей статьи, после предоставления участником закупки, с которым заключается контракт, обеспечения исполнения контракта в соответствии с требованиями настоящего Федерального закона (если требование обеспечения исполнения контракта установлено в извещении об осуществлении закупки). Участники закупки, заявки которых не отозваны в соответствии с настоящим Федеральным законом, обязаны подписать контракт в порядке, установленном настоящей статьей.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пунктом 1 части 2 статьи 51 Закона о контрактной системе не позднее двух рабочих дней, следующих за днем размещения в единой информационной системе протоколов, указанных в части 1 настоящей статьи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 формирует с использованием единой информационной системы и размещает в единой информационной системе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(без размещения на официальном сайте) и на электронной площадке (с использованием единой информационной системы)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без своей подписи проект контракта, указанный в пункте 5 части 2 статьи 42 настоящего Федерального закона.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Подпунктом а) пункта 2 части 3 статьи 51 Закона о контрактной системе установлено, что не позднее пяти рабочих дней, следующих за днем размещения заказчиком в соответствии с частью 2 настоящей статьи проекта контракта, участник закупки, с которым заключается контракт, формирует, подписывает усиленной электронной подписью лица, имеющего право действовать от имени участника закупки, и размещает на электронной площадке и в единой информационной системе (с использованием электронной площадки, без размещения на официальном сайте) протокол разногласий в случае наличия разногласий в отношении информации, включенной в проект контракта в соответствии с пунктом 1 части 2 настоящей статьи, с указанием информации, не соответствующей требованиям, установленным в извещении об осуществлении закупки, и положениям заявки такого участника закупки.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пункта 3 части 4 статьи 51 Закона о контрактной системе не позднее двух рабочих дней, следующих за днем размещения участником закупки, с которым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заключается контракт, информации и документов в соответствии с частью 3 настоящей статьи, заказчик формирует с использованием единой информационной системы и размещает в единой информационной системе (без размещения на официальном сайте) и на электронной площадке (с использованием единой информационной системы) без своей подписи проект контракта без учета либо с частичным учетом информации, содержащейся в протоколе разногласий, размещенном участником закупки, с которым заключается контракт, в соответствии с пунктом 2 части 3 настоящей статьи. При таком размещении заказчик также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(без размещения на официальном сайте) информацию о причинах отказа учесть полностью или частично информацию, содержащуюся в протоколе разногласий. При этом информация, предусмотренная подпунктом "б" пункта 2 части 3 настоящей статьи, подлежит обязательному учету.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5 статьи 51 Закона о контрактной системе не позднее одного рабочего дня, следующего за датой размещения заказчиком информации и документов в соответствии с пунктом 2 или 3 части 4 настоящей статьи, участник закупки, с которым заключается контракт, осуществляет действия, предусмотренные пунктом 1 части 3 настоящей статьи. Заказчик не позднее двух рабочих дней, следующих за днем осуществления таких действий участником закупки, размещает в единой информационной системе и на электронной площадке (с использованием единой информационной системы) подписанный усиленной электронной подписью лица, имеющего право действовать от имени заказчика, контракт (за исключением случаев, установленных настоящим Федеральным законом, и не ранее срока, предусмотренного частью 1 настоящей статьи). Контракт считается заключенным в день размещения контракта, подписанного усиленной электронной подписью лица, имеющего право действовать от имени заказчика, в единой информационной системе. В случаях, предусмотренных частью 5 статьи 103 настоящего Федерального закона, такой подписанный контракт не размещается на официальном сайте.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 этом, частью 7 статьи 106 Закона о контрактной системе предусмотрено, что контрольный орган в сфере закупок вправе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приостановить определение поставщика (подрядчика, исполнителя) </w: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части заключения контракта заказчиком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до рассмотрения жалобы по существу,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направив заказчику, оператору специализированной электронной площадки, в уполномоченный орган, уполномоченное учреждение, специализированную организацию требование 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приостановлении определения поставщика (подрядчика, исполнителя) в части заключения контракта заказчиком до рассмотрения жалобы по существу, которое является для них обязательным. При проведении электронных процедур такое приостановление (в случае принятия решения о приостановлении определения поставщика (подрядчика, исполнителя) осуществляется контрольным органом в сфере закупок с использованием единой информационной системы в сфере закупок при размещении информации в соответствии с пунктом 1 части 8 статьи 105 настоящего Федерального закона. В случае принятия решения о приостановлении определения поставщика (подрядчика, исполнителя) контракт не может быть заключен до рассмотрения жалобы по существу. При этом срок, установленный для заключения контракта, подлежит продлению на срок рассмотрения жалобы по существу.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информации, представленной оператором электронной площадки, при подписании контракта стороны осуществили следующие действия: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07.10.2024 5:31 (МСК) ИП Филипповой П.А. отправлен на подпись проект контракта;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 14:22 (МСК) Контракт перешёл из состояния «Контракт отправлен участнику на подпись» в состояние «Участником создан протокол разногласий»;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14.10.2024 14:22 (МСК) Опубликован протокол разногласий по проекту контракта;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Протоколе разногласий ИП Филипповой П.А. указано следующее:</w:t>
      </w:r>
    </w:p>
    <w:tbl>
      <w:tblPr>
        <w:tblOverlap w:val="never"/>
        <w:jc w:val="center"/>
        <w:tblLayout w:type="fixed"/>
      </w:tblPr>
      <w:tblGrid>
        <w:gridCol w:w="456"/>
        <w:gridCol w:w="3470"/>
        <w:gridCol w:w="3168"/>
        <w:gridCol w:w="3178"/>
      </w:tblGrid>
      <w:tr>
        <w:trPr>
          <w:trHeight w:val="523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№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Редакция заказчика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Редакция подрядчика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(ВОЗМОЖНЫЕ ВАРИАНТЫ)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 xml:space="preserve">Комментарий </w:t>
            </w:r>
            <w:r>
              <w:rPr>
                <w:i/>
                <w:iCs/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(ВОЗМОЖНЫЕ ВАРИАНТЫ)</w:t>
            </w:r>
          </w:p>
        </w:tc>
      </w:tr>
      <w:tr>
        <w:trPr>
          <w:trHeight w:val="53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1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Государственный контракт : на Выполнение работ по ремонту автомобильной дороги Куйбышево - Койбалы на участке км 0+000 - км 8+000 в Бейском районе Республики Хакасия 3 Цена контракта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3.1. Цена Государственного контракта составляет 21 969 208,49 (Двадцать один миллион девятьсот шестьдесят девять тысяч двести восемь) рублей 49 копеек Б/НДС</w:t>
            </w: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1. Представить ЛСР Статья 110.2 Закона № 44-ФЗ В соответствии с требованиями ведения реестра контрактов ЕИС заказчик обязан разместить контракт (направить победителю) со всеми приложениями. Т.о. Заказчик обязан приложить скорректированную смету к контракту.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2, Представить пересчитанный локальный сметный расчет без изменения стоимости и объемов работ Б/НДС Сумма 21 969 208,49 Б/НДС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В связи с тем, что налоговая база Индивидуального предпринимателя Филипповой Полины Александровны, на упрощенной системе налогообложения, т.е. без учета НДС ,представить локально сметный расчет объекта, согласно писем Госстроя России № НЗ-6292/10 от 6 октября 2003 года и Госстроя от 27.11.2012 № 2536-ИП/12/ГС, Минюста России от 27.04.2018 № 57049- ЮЛ Необходимо представить локальный сметный расчет, пересчитать с применением формул для Компенсации НДС при УСНО, без изменения объемов работ</w:t>
            </w:r>
          </w:p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Сумма 21 969 208,49 Б/НДС</w:t>
            </w:r>
          </w:p>
        </w:tc>
      </w:tr>
    </w:tbl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Статья 110.2 Закона о контрактной системы в соответствии с требованиями ведения реестра контрактов ЕИС заказчик обязан разместить контракт (направить победителю) со всеми приложениями. Т.о. Заказчик обязан приложить скорректированную смету к контракту.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16.10.2024 12:06 (МСК) ИП Филипповой П.А. отправлен на подпись проект контракта.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проектом контракта Заказчиком был направлен ответ о рассмотрении протокола разногласий (исх. №1666-ис/А от 16.10.2024), в котором указано в том числе следующее: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«ГКУ РХ «Хакасавтодор» не принимает протокол разногласий в связи с тем, что проект контракта заполнен на основании поданной Вами заявки на участие, где в свою очередь указана ставка НДС («Без НДС»). Данная информация автоматически подтягивается в проект электронной версии контракта и данное поле закрыто для редактирования.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хочется отметить что, на официальном сайте Единой информационной системы в сфере закупок отсутствует выбор данной позиции «Компенсация НДС при УСНО».»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18.10.2024 00:00 (МСК) Контракт перешёл из состояния «Контракт отправлен участнику на подпись» в состояние «Участник не подписал контракт в регламентированный срок»;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18.10.2024 10:50 (МСК) Контракт перешёл из состояния «Участник не подписал контракт в регламентированный срок» в состояние «Участник признан уклонившимся от заключения контракта».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Хакасского УФАС России, изучив доводы подателя жалобы, проанализировав извещение об осуществлении закупки № 0380200000124005843, в том числе электронные документы к нему, установила следующее.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4 части 1 статьи 22 Закона о контрактной системе локально-сметный расчет при провидении электронного Аукциона является обоснованием начальной (максимальной) цены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Вместе с тем, в пункте 9.4 раздела «Обязанности Заказчика» проекта контракта указано: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«Для выполнения работ по контракту в течение 3 рабочих дней со дня заключения контракта передать Подрядчику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акту приема-передачи строительную площадку,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сметный расчет по ремонту,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документы и имущество, необходимые для выполнения работ по контракту, или обеспечить их передачу, а также осуществить иные юридически значимые действия, необходимые для выполнения работ по контракту.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12" w:val="left"/>
        </w:tabs>
        <w:bidi w:val="0"/>
        <w:spacing w:before="0" w:after="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устанавливать сроки, порядок, документальное оформление сдачи и приемки выполненных работ (этапов) в соответствии с Техническим регламентом Таможенного союза «Безопасность автомобильных дорог» (ТР ТС 014/2011), утвержденным решением Комиссии Таможенного союза от 18 октября 2011 г. № 827 с изменениями, внесенными Решением Комиссии Таможенного союза от 9 декабря 2011 г. № 859; Решением Коллегии Евразийской экономической комиссии от 18 сентября 2012 г. № 159; Решением Коллегии Евразийской экономической комиссии от 12 октября 2015 г. № 135;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180"/>
        <w:ind w:left="0" w:right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организовать строительный контроль, производить промежуточную приемку и оплату выполненных Подрядчиком работ в порядке, предусмотренном СП 78.13330.2012, ГОСТ 32756- 2014 и настоящим контрактом».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43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приложениями к проекту контракта являются следующие документы:</w:t>
      </w:r>
    </w:p>
    <w:tbl>
      <w:tblPr>
        <w:tblOverlap w:val="never"/>
        <w:jc w:val="center"/>
        <w:tblLayout w:type="fixed"/>
      </w:tblPr>
      <w:tblGrid>
        <w:gridCol w:w="1939"/>
        <w:gridCol w:w="8261"/>
      </w:tblGrid>
      <w:tr>
        <w:trPr>
          <w:trHeight w:val="32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1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График выполнения работ по ремонту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2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График оплаты выполненных по контракту работ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3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Техническое задание</w:t>
            </w:r>
          </w:p>
        </w:tc>
      </w:tr>
      <w:tr>
        <w:trPr>
          <w:trHeight w:val="566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top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4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9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Рекомендуемая форма предоставления информации о привлечении субподрядчиков для выполнения работ по контракту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5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Форма документа о приемке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6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Форма документа о приемке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7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Форма документа о приемке</w:t>
            </w:r>
          </w:p>
        </w:tc>
      </w:tr>
      <w:tr>
        <w:trPr>
          <w:trHeight w:val="326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Приложение № 8</w:t>
            </w: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auto"/>
            <w:vAlign w:val="bottom"/>
          </w:tcPr>
          <w:p>
            <w:pPr>
              <w:pStyle w:val="Style2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ru-RU" w:eastAsia="ru-RU" w:bidi="ru-RU"/>
              </w:rPr>
              <w:t>Требования к информационным щитам</w:t>
            </w:r>
          </w:p>
        </w:tc>
      </w:tr>
    </w:tbl>
    <w:p>
      <w:pPr>
        <w:widowControl w:val="0"/>
        <w:spacing w:after="299" w:line="1" w:lineRule="exact"/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изучив в полном объеме представленные сторонами документы, заслушав пояснения Заказчика и Уполномоченного органа, Комиссия приходит к выводу, что Заказчик сформировал с использованием ЕИС без своей подписи проект контракта, указанный в пункте 5 части 2 статьи 42 Закона о контрактной системе, и направил его на подпись ИП Филипповой П.А., предложив заключить контракт на условиях, предусмотренных Извещением об осуществлении закупки, что соответствует положениям Закона о контрактной системе. Доказательств обратного Заявителем в материалы дела не представлено.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Процедура заключения Контракта в части формирования и размещения проекта контракта без учета информации, содержащейся в протоколе разногласий, размещенном участником закупки, с которым заключается контракта, Заказчиком соблюдена.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тем, Заявитель в своей жалобе, а также в протоколе разногласий ссылается на статью 110.2 Закона о контрактной системе, положениями которой предусмотрены особенности заключения и исполнения контракта, предметом которого является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подготовка проектной документации и (или) выполнение инженерных изысканий,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контрактов, предметом которых являются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строительство, реконструкция объектов капитального строительства.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Объектом же спорной закупки является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выполнение работ по ремонту автомобильной дороги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Куйбышево - Койбалы на участке км 0+000 - км 8+000 в Бейском районе Республики Хакасия, следовательно, положения статьи 110.2 Закона о контрактной системе в данном случае не применимы.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и руководствуясь положениями Закона о контрактной системе, Комиссия,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5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ИП Филипповой П.А. необоснованной.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660"/>
        <w:ind w:left="0" w:right="0" w:firstLine="560"/>
        <w:jc w:val="left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134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918" w:right="483" w:bottom="784" w:left="104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715010</wp:posOffset>
              </wp:positionH>
              <wp:positionV relativeFrom="page">
                <wp:posOffset>9965690</wp:posOffset>
              </wp:positionV>
              <wp:extent cx="725170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300000000000004pt;margin-top:784.70000000000005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25170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ru-RU" w:eastAsia="ru-RU" w:bidi="ru-RU"/>
                            </w:rPr>
                            <w:t>2024-10357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ru-RU" w:eastAsia="ru-RU" w:bidi="ru-RU"/>
                      </w:rPr>
                      <w:t>2024-10357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3915410</wp:posOffset>
              </wp:positionH>
              <wp:positionV relativeFrom="page">
                <wp:posOffset>712470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30000000000001pt;margin-top:56.100000000000001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5">
    <w:name w:val="Основной текст (2)_"/>
    <w:basedOn w:val="DefaultParagraphFont"/>
    <w:link w:val="Style1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character" w:customStyle="1" w:styleId="CharStyle18">
    <w:name w:val="Основной текст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2">
    <w:name w:val="Заголовок №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character" w:customStyle="1" w:styleId="CharStyle25">
    <w:name w:val="Друго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1">
    <w:name w:val="Подпись к таблице_"/>
    <w:basedOn w:val="DefaultParagraphFont"/>
    <w:link w:val="Style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24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1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spacing w:after="32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4">
    <w:name w:val="Основной текст (2)"/>
    <w:basedOn w:val="Normal"/>
    <w:link w:val="CharStyle15"/>
    <w:pPr>
      <w:widowControl w:val="0"/>
      <w:shd w:val="clear" w:color="auto" w:fill="auto"/>
      <w:spacing w:line="262" w:lineRule="auto"/>
      <w:ind w:firstLine="640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1">
    <w:name w:val="Заголовок №1"/>
    <w:basedOn w:val="Normal"/>
    <w:link w:val="CharStyle22"/>
    <w:pPr>
      <w:widowControl w:val="0"/>
      <w:shd w:val="clear" w:color="auto" w:fill="auto"/>
      <w:spacing w:after="3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4">
    <w:name w:val="Другое"/>
    <w:basedOn w:val="Normal"/>
    <w:link w:val="CharStyle25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30">
    <w:name w:val="Подпись к таблице"/>
    <w:basedOn w:val="Normal"/>
    <w:link w:val="CharStyle31"/>
    <w:pPr>
      <w:widowControl w:val="0"/>
      <w:shd w:val="clear" w:color="auto" w:fill="auto"/>
      <w:spacing w:line="276" w:lineRule="auto"/>
      <w:ind w:firstLine="5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