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38100" distL="114300" distR="114300" simplePos="0" relativeHeight="125829378" behindDoc="0" locked="0" layoutInCell="1" allowOverlap="1">
            <wp:simplePos x="0" y="0"/>
            <wp:positionH relativeFrom="page">
              <wp:posOffset>1775460</wp:posOffset>
            </wp:positionH>
            <wp:positionV relativeFrom="paragraph">
              <wp:posOffset>12700</wp:posOffset>
            </wp:positionV>
            <wp:extent cx="536575" cy="615950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279400" distB="0" distL="114300" distR="114300" simplePos="0" relativeHeight="125829379" behindDoc="0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3124200</wp:posOffset>
                </wp:positionV>
                <wp:extent cx="1017905" cy="170815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17905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решение по жалобе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700000000000003pt;margin-top:246.pt;width:80.150000000000006pt;height:13.450000000000001pt;z-index:-125829374;mso-wrap-distance-left:9.pt;mso-wrap-distance-top:22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решение по жалобе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640"/>
        <w:jc w:val="left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Республике Хакасия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Вяткина, 3, г. Абакан, 655017</w:t>
        <w:br/>
        <w:t>тел. (3902) 22-27-59, факс (3902) 22-62-55</w:t>
        <w:br/>
        <w:t>е-шаП: 1о19@Га8.§оу.ги</w:t>
      </w:r>
    </w:p>
    <w:p>
      <w:pPr>
        <w:pStyle w:val="Style11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28.10.2024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ОШ/9733/2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rPr>
          <w:sz w:val="17"/>
          <w:szCs w:val="17"/>
        </w:rPr>
      </w:pPr>
      <w:r>
        <w:rPr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7"/>
          <w:szCs w:val="17"/>
        </w:rPr>
      </w:pPr>
      <w:r>
        <w:rPr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№ 019/06/106-1529/2024 (ООО "Конструктив")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Заявителю: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6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«Конструктив» тГо@]а1ихейа.ш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Субъектам контроля: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Уполномоченному органу -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6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Государственному комитету по регулированию контрактной системы в сфере закупок Республики Хакасия и его комиссии §х@г-19.га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Муниципальному заказчику -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МБОУ ШИ «Аскизский лицей-интернат» им.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М.И. Чебодаева а8к1х_8с1юо1@та11.ги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площадки -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«РТС-тендер» ко@г18-1епдег.гп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632" w:bottom="1231" w:left="1140" w:header="0" w:footer="3" w:gutter="0"/>
          <w:pgNumType w:start="1"/>
          <w:cols w:num="2" w:space="720" w:equalWidth="0">
            <w:col w:w="4310" w:space="955"/>
            <w:col w:w="4862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№ 0380200000124006609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" w:after="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24" w:right="0" w:bottom="79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360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  <w:t>по жалобе № 019/06/106-1529/2024</w:t>
      </w:r>
      <w:bookmarkEnd w:id="2"/>
    </w:p>
    <w:p>
      <w:pPr>
        <w:pStyle w:val="Style20"/>
        <w:keepNext w:val="0"/>
        <w:keepLines w:val="0"/>
        <w:widowControl w:val="0"/>
        <w:shd w:val="clear" w:color="auto" w:fill="auto"/>
        <w:tabs>
          <w:tab w:pos="8909" w:val="left"/>
        </w:tabs>
        <w:bidi w:val="0"/>
        <w:spacing w:before="0" w:after="360" w:line="26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«24» октября 2024 года</w:t>
        <w:tab/>
        <w:t>г. Абакан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Хакасия по контролю закупок (далее - Комиссия) в составе:</w:t>
      </w:r>
    </w:p>
    <w:p>
      <w:pPr>
        <w:pStyle w:val="Style20"/>
        <w:keepNext w:val="0"/>
        <w:keepLines w:val="0"/>
        <w:widowControl w:val="0"/>
        <w:shd w:val="clear" w:color="auto" w:fill="auto"/>
        <w:tabs>
          <w:tab w:pos="6567" w:val="left"/>
        </w:tabs>
        <w:bidi w:val="0"/>
        <w:spacing w:before="0" w:after="0"/>
        <w:ind w:left="0" w:right="0" w:firstLine="1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 -</w:t>
        <w:tab/>
        <w:t>заместителя руководителя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left="35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управления;</w:t>
      </w:r>
    </w:p>
    <w:p>
      <w:pPr>
        <w:pStyle w:val="Style20"/>
        <w:keepNext w:val="0"/>
        <w:keepLines w:val="0"/>
        <w:widowControl w:val="0"/>
        <w:shd w:val="clear" w:color="auto" w:fill="auto"/>
        <w:tabs>
          <w:tab w:pos="5396" w:val="left"/>
        </w:tabs>
        <w:bidi w:val="0"/>
        <w:spacing w:before="0" w:after="0" w:line="269" w:lineRule="auto"/>
        <w:ind w:left="0" w:right="0" w:firstLine="1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  <w:tab/>
        <w:t>начальника отдела контроля закупок и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580" w:right="0" w:firstLine="30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антимонопольного контроля органов власти, ведущего специалиста - эксперта отдела антимонопольного законодательства и рекламы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58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Заявителя -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Общества с ограниченной ответственностью «Конструктив» (далее - ООО «Конструктив», Заявитель, Общество):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700" w:line="269" w:lineRule="auto"/>
        <w:ind w:left="0" w:right="0" w:firstLine="5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доверенности № б/н от 16.10.2024;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4"/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муниципального заказчика -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Муниципальной бюджетной общеобразовательной школы-интерната «Аскизский лицей-интернат» им. М.И. Чебодаева (далее — МБОУ ШИ «Аскизский лицей-интернат» им. М.И. Чебодаева, Заказчик):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0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директора МБОУ ШИ «Аскизский лицей- интернат» им. М.И. Чебодаева на основании выписки из приказа МКУ «Управление образования администрации Аскизского района» № 5-19 от 08.09.2003 (присутствовал до объявленного перерыва),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на основании доверенности б/н от 23.10.2024 (присутствовала после объявленного перерыва),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уполномоченного органа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— Государственного комитета по регулированию контрактной системы в сфере закупок (далее - Госкомзакуп Хакасии, Уполномоченный орган):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1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на основании доверенности № 5 от 23.01.2024,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на основании доверенности № 4 от 22.01.2024 (присутствовала после объявленного перерыва),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38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«Конструктив» на действия субъектов контроля при проведении электронного аукциона на поставку, сборку, установку (монтаж) одежды сцены для актового зала с целью оснащения объекта «Строительство средней школы на 825 мест в селе Аскиз» (извещение № 0380200000124006609) (далее - Аукцион), и в результате осуществления внеплановой проверки в соответствии с пунктом 1 части 15 статьи 99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6"/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Хакасское УФАС России посредством ЕИС 17.10.2024 поступила жалоба Заявителя на действия Заказчика при проведении Аукциона.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Заявителя, его права и законные интересы нарушены действиями Заказчика, который сформировал описание объекта закупки, противоречащее требованиям Закона о контрактной системе и ГОСТ Р 50810-95 «Пожарная безопасность текстильных материалов. Ткани декоративные. Метод испытания на воспламеняемость и классификация».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рассмотрении жалобы представитель ООО «Конструктив» поддержал довод о несоответствии требованиям ГОСТа описания объекта закупки, обратив внимание Комиссии, что согласно положений государственного стандарта текстильные материалы подразделяют на легковоспламеняемые и трудновоспламеняемые,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определения «негорючий», указанного Заказчиком в Описании объекта закупки, в ГОСТе не содержится.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и Уполномоченным органом в материалы дела представлены запрашиваемые документы и пояснения.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рассмотрении жалобы представители Уполномоченного органа и Заказчика не согласились с доводами Заявителя, устно озвучив свои пояснения.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связи с возникшими вопросами при проведения внеплановой проверки размещения закупки, в работе Комиссии был объявлен перерыв до 24.10.2024.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После объявленного перерыва представители сторон свои позиции не изменили: Заявитель настаивал на обоснованности доводов жалобы, Заказчик и уполномоченный орган просили признать жалобу необоснованной.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следующее.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извещением об осуществлении закупки, электронными документами к нему, протоколами, составленными при определении поставщика (подрядчика, исполнителя):</w:t>
      </w:r>
    </w:p>
    <w:p>
      <w:pPr>
        <w:pStyle w:val="Style2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6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об осуществлении закупки (далее - Извещение) размещено в ЕИС 10.10.2024;</w:t>
      </w:r>
    </w:p>
    <w:p>
      <w:pPr>
        <w:pStyle w:val="Style2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0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- 3 352 003,00 рублей;</w:t>
      </w:r>
    </w:p>
    <w:p>
      <w:pPr>
        <w:pStyle w:val="Style2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5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способ определения поставщика (подрядчика, исполнителя) - электронный аукцион;</w:t>
      </w:r>
    </w:p>
    <w:p>
      <w:pPr>
        <w:pStyle w:val="Style2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0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и время окончания срока подачи заявок 10.10.2024 09:37;</w:t>
      </w:r>
    </w:p>
    <w:p>
      <w:pPr>
        <w:pStyle w:val="Style2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5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проведения процедуры подачи предложений о цене контракта либо о сумме цен единиц товара, работы, услуги 18.10.2024;</w:t>
      </w:r>
    </w:p>
    <w:p>
      <w:pPr>
        <w:pStyle w:val="Style2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0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подведения итогов определения поставщика (подрядчика, исполнителя) 22.10.2024;</w:t>
      </w:r>
    </w:p>
    <w:p>
      <w:pPr>
        <w:pStyle w:val="Style2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0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Протоколом подачи ценовых предложений от 18.10.2024 ценовые предложения поступили от 6 (шести) участников аукциона из 8 (восьми), подавших заявки на участие в Аукционе. Наилучшее ценовое предложение поступило от участника закупки с идентификационным номером 117481853 и составило 773 157,82 руб. (снижение от НМЦК — 76,93 %);</w:t>
      </w:r>
    </w:p>
    <w:p>
      <w:pPr>
        <w:pStyle w:val="Style2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4" w:val="left"/>
        </w:tabs>
        <w:bidi w:val="0"/>
        <w:spacing w:before="0" w:after="18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22.10.2024 победителем аукциона признан участник закупки с идентификационным № 117481853 и ценовым предложением 773 157,82 руб.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1 части 2 статьи 42 Закона о контрактной системе извещение об осуществлении закупки должно содержать описание объекта закупки в соответствии со статьей 33 Закона о контрактной системе.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пункта 2 части 1 статьи 33 Закона о контрактной системе Заказчик в случаях, предусмотренных настоящим Федеральным законом, при описании объекта закупки должен руководствоваться следующим правилом: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Частями 1 и 2 статьи 1 Федерального закона от 22.07.2008 № 123-ФЗ (далее — Закон № 123-ФЗ) «Технический регламент о требованиях пожарной безопасности» установлено следующее: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Настоящий Федеральный закон принимается в целях защиты жизни, здоровья, имущества граждан и юридических лиц, государственного и муниципального имущества от пожаров, определяет основные положения технического регулирования в области пожарной безопасности и устанавливает минимально необходимые требования пожарной безопасности к объектам защиты (продукции), в том числе к зданиям и сооружениям, производственным объектам, пожарно-технической продукции и продукции общего назначения. Технические регламенты, принятые в соответствии с Федеральным законом от 27 декабря 2002 года № 184-ФЗ «О техническом регулировании» (далее - Федеральный закон «О техническом регулировании»), не действуют в части, содержащей требования пожарной безопасности к указанной продукции, отличные от требований, установленных настоящим Федеральным законом.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Положения настоящего Федерального закона об обеспечении пожарной безопасности объектов защиты обязательны для исполнения при:</w:t>
      </w:r>
    </w:p>
    <w:p>
      <w:pPr>
        <w:pStyle w:val="Style2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2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проектировании, строительстве, капитальном ремонте, реконструкции, техническом перевооружении, изменении функционального назначения, техническом обслуживании, эксплуатации и утилизации объектов защиты;</w:t>
      </w:r>
    </w:p>
    <w:p>
      <w:pPr>
        <w:pStyle w:val="Style2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2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разработке, принятии, применении и исполнении технических регламентов, принятых в соответствии с Федеральным законом «О техническом регулировании», содержащих требования пожарной безопасности, а также нормативных документов по пожарной безопасности;</w:t>
      </w:r>
    </w:p>
    <w:p>
      <w:pPr>
        <w:pStyle w:val="Style2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602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разработке технической документации на объекты защиты.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этом, статьёй 13 Закона № 123-ФЗ предусмотрена классификация строительных, текстильных и кожевенных материалов по пожарной опасности.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90" w:lineRule="auto"/>
        <w:ind w:left="0" w:right="0" w:firstLine="560"/>
        <w:jc w:val="both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В соответствии с частью 13 статьи 13 Закона № 123-ФЗ текстильные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 кожевенные </w:t>
      </w: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материалы по воспламеняемости подразделяются на легковоспламеняемые и трудновоспламеняемые.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Частью 15 статьи 13 Закона № 123-ФЗ установлено, что методы испытаний по определению классификационных показателей пожарной опасности строительных, текстильных и кожевенных материалов устанавливаются нормативными документами по пожарной безопасности.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Распоряжением Правительства РФ от 10.03.2009 № 304-р «Об утверждении перечня национальных стандартов, содержащих правила и методы исследований (испытаний) и измерений, в том числе правила отбора образцов, необходимые для применения и исполнения Федерального закона «Технический регламент о требованиях пожарной безопасности» и осуществления оценки соответствия» утвержден прилагаемый перечень национальных стандартов, содержащих правила и методы исследований (испытаний) и измерений, в том числе правила отбора образцов, необходимые для применения и исполнения Федерального закона «Технический регламент о требованиях пожарной безопасности» и осуществления оценки соответствия (далее - Перечень).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26 Перечня включен ГОСТ Р 50810-95 (далее — ГОСТ Р 50810-95) «Пожарная безопасность текстильных материалов. Ткани декоративные. Метод испытания на воспламеняемость и классификация», который устанавливает метод определения способности текстильных материалов (тканей, нетканых полотен) сопротивляться воспламенению, устойчивому горению, а также оценки их огнезащитно сти.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Стандарт применяется для всех горючих декоративных текстильных материалов, поставляемых потребителю.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86" w:lineRule="auto"/>
        <w:ind w:left="0" w:right="0" w:firstLine="560"/>
        <w:jc w:val="both"/>
      </w:pPr>
      <w:bookmarkStart w:id="8" w:name="bookmark8"/>
      <w:r>
        <w:rPr>
          <w:b w:val="0"/>
          <w:bCs w:val="0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По результатам испытаний горючие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текстильные материалы подразделяют на легковоспламеняемые и трудновоспламеняемые.</w:t>
      </w:r>
      <w:bookmarkEnd w:id="8"/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 стандарта являются обязательными.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учётом изложенных выше норм права, в отношении довода жалобы о том, что Заказчиком составлено описание объекта закупки, противоречащее требованиям Закона о контрактной системе и ГОСТа Р 50810-95, Комиссия приходит к следующим выводам.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описании объекта спорной закупки в числе прочего указаны следующие характеристики и их значения к комплекту одежды сцены для актового зала:</w:t>
      </w:r>
    </w:p>
    <w:tbl>
      <w:tblPr>
        <w:tblOverlap w:val="never"/>
        <w:jc w:val="center"/>
        <w:tblLayout w:type="fixed"/>
      </w:tblPr>
      <w:tblGrid>
        <w:gridCol w:w="5045"/>
        <w:gridCol w:w="5126"/>
      </w:tblGrid>
      <w:tr>
        <w:trPr>
          <w:trHeight w:val="3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Наименование характеристики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Значения характеристики</w:t>
            </w: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Ткань подкладки антракгно-раздвижного занавеса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Однотонная негорючий габардин</w:t>
            </w:r>
          </w:p>
        </w:tc>
      </w:tr>
      <w:tr>
        <w:trPr>
          <w:trHeight w:val="33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Ткань лицевая антракгно-раздвижного занавеса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негорючий бархат</w:t>
            </w:r>
          </w:p>
        </w:tc>
      </w:tr>
      <w:tr>
        <w:trPr>
          <w:trHeight w:val="33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Ткань подкладки арлекина фигурного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ткань однотонная негорючий габардин</w:t>
            </w:r>
          </w:p>
        </w:tc>
      </w:tr>
      <w:tr>
        <w:trPr>
          <w:trHeight w:val="34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Ткань лицевая кулисы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негорючий блэкаут</w:t>
            </w:r>
          </w:p>
        </w:tc>
      </w:tr>
      <w:tr>
        <w:trPr>
          <w:trHeight w:val="34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Ткань лицевая падуги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негорючий блэкаут</w:t>
            </w:r>
          </w:p>
        </w:tc>
      </w:tr>
      <w:tr>
        <w:trPr>
          <w:trHeight w:val="34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Ткань лицевая задника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негорючий блэкаут</w:t>
            </w:r>
          </w:p>
        </w:tc>
      </w:tr>
    </w:tbl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указанные значения характеристик ткани не соответствуют классификации текстильных материалов по пожарной опасности, установленной частью 13 статьи 13 Закона № 123-ФЗ, а также требованиям ГОСТа Р 50810-95, подразделяющего текстильные материалы на легковоспламеняемые и трудновоспламеняемые.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пунктами 1.3 и 1.4 проекта контракта предусмотрено следующее: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1.3. Поставляемый Товар должен быть новым, не бывшим в употреблении, соответствовать требованиям качества и безопасности товаров в соответствии с действующими стандартами, утвержденными в отношении данного вида Товара, что должно подтверждаться соответствующими документами, оформленными в соответствии с законодательством Российской Федерации.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1.4. Поставщик обязан передать Заказчику документы, предусмотренные законом или иным правовым актом, а также документы, относящиеся к товару и подтверждающие его соответствие требованиям Контракта, государственным стандартам РФ, техническим условиям, регламентам и иным нормативным правовым актам, которые устанавливают требования к товару или условиям его производства.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определению, указанному в Федеральном законе от 27.12.2002 № 184- ФЗ «О техническом регулировании», сертификат соответствия — это документ, удостоверяющий соответствие объекта требованиям технических регламентов, документам по стандартизации или условиям договоров.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Следовательно, в рассматриваемом случае, в сертификате соответствия, который должен передать Поставщик Заказчику, будет указано о соответствии ткани требованиям ГОСТ Р 50810-95 (трудновоспламеняемые или легковоспламеняемые). Подтверждением тому служат копии сертификатов соответствия, представленных в материалы дела самим Заказчиком.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изложенного, действия (бездействие) Заказчика, установившего в описании объекта закупки показатели, касающиеся технических характеристик товара, но не предусмотренные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 (при отсутствии в описании объекта закупки обоснования необходимости использования других показателей, требований, условных обозначений и терминологии), являются нарушением пункта 2 части 1 статьи 33 и пункта 1 части 2 статьи 42 Закона о контрактной системе, что содержит признаки состава административного правонарушения, ответственность за которое предусмотрена частью 1.4 статьи 7.30 КоАП РФ.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в ходе заседания Комиссии, доводы жалобы нашли своё подтверждение.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частью 3 статьи 99 Закона о контрактной системе установлено, что ФАС России осуществляет контроль в сфере закупок, за исключением контроля, предусмотренного частями 5, 8 и 10 статьи 99 Закона о контрактной системе.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свою очередь, пунктом 3 части 8 статьи 99 Закона о контрактной системе закреплено, что органы внутреннего государственного (муниципального) финансового контроля осуществляют контроль (за исключением контроля, предусмотренного частью 10 настоящей статьи) в отношении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услуги, начальной суммы цен единиц товара, работы, услуги.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связи с тем, что объектом закупки № 0380200000124006609 является поставка, </w:t>
      </w: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сборка, установка (монтаж)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одежды сцены для актового зала (согласно описания объекта закупки в состав комплекта входит: антрактно-раздвижной занавес, арлекин фигурный, кулиса, падуга, задник,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комплект установки механического оборудования сцены на объекте заказчика (крепления, метизы, расходные материалы), штанкеты стационарные, электрокарниз для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театрального занавеса),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а обоснование начальной (максимальной) цены контракта сформировано на основании трех коммерческих предложений исключительно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поставке антрактно-раздвижного занавеса, арлекина фигурного, кулисы, падуги, задника,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Комиссия полагает необходимым направить информацию в отношении определения и обоснования начальной (максимальной) цены контракта (закупка № 0380200000124006609) в орган внутреннего муниципального финансового контроля для проведения проверки в рамках представленных полномочий.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пункта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проверок, а также в результате рассмотрения жалобы на действия (бездействие) субъектов контроля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Федерации, в том числе об аннулировании определения поставщиков (подрядчиков, исполнителей).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антимонопольного органа принято решение выдать субъектам контроля обязательное для исполнения предписание об устранении выявленных нарушений.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и руководствуясь положениями Закона о контрактной системе, Комиссия,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360"/>
        <w:ind w:left="0"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  <w:bookmarkEnd w:id="10"/>
    </w:p>
    <w:p>
      <w:pPr>
        <w:pStyle w:val="Style2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78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«Конструктив» обоснованной.</w:t>
      </w:r>
    </w:p>
    <w:p>
      <w:pPr>
        <w:pStyle w:val="Style2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84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Заказчика нарушившим пункт 2 части 1 статьи 33 и пункт 1 части 2 статьи 42 Закона о контрактной системе.</w:t>
      </w:r>
    </w:p>
    <w:p>
      <w:pPr>
        <w:pStyle w:val="Style2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89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Уполномоченному органу и его комиссии, Заказчику, Оператору электронной площадки выдать предписание об устранении выявленных нарушений.</w:t>
      </w:r>
    </w:p>
    <w:p>
      <w:pPr>
        <w:pStyle w:val="Style2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94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Направить информацию по обоснованию начальной (максимальной) цены контракта в Финансовое управление Администрации Аскизского района для рассмотрения в рамках представленных полномочий.</w:t>
      </w:r>
    </w:p>
    <w:p>
      <w:pPr>
        <w:pStyle w:val="Style2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89" w:val="left"/>
        </w:tabs>
        <w:bidi w:val="0"/>
        <w:spacing w:before="0" w:after="36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жалобы должностному лицу Управления Федеральной антимонопольной службы по Республике Хакасия для рассмотрения вопроса о возбуждении дела об административном правонарушении.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5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134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24" w:right="513" w:bottom="791" w:left="108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9965690</wp:posOffset>
              </wp:positionV>
              <wp:extent cx="7251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2024-10356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75pt;margin-top:784.7000000000000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2024-10356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251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2024-10356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pt;margin-top:776.20000000000005pt;width:57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2024-10356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3921125</wp:posOffset>
              </wp:positionH>
              <wp:positionV relativeFrom="page">
                <wp:posOffset>711835</wp:posOffset>
              </wp:positionV>
              <wp:extent cx="6731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8.75pt;margin-top:56.050000000000004pt;width:5.2999999999999998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95E8F"/>
      <w:sz w:val="16"/>
      <w:szCs w:val="16"/>
      <w:u w:val="none"/>
    </w:rPr>
  </w:style>
  <w:style w:type="character" w:customStyle="1" w:styleId="CharStyle7">
    <w:name w:val="Колонтитул (2)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Основной текст (4)_"/>
    <w:basedOn w:val="DefaultParagraphFont"/>
    <w:link w:val="Styl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95E8F"/>
      <w:sz w:val="19"/>
      <w:szCs w:val="19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6">
    <w:name w:val="Основной текст (2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9">
    <w:name w:val="Заголовок №3_"/>
    <w:basedOn w:val="DefaultParagraphFont"/>
    <w:link w:val="Style1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1">
    <w:name w:val="Основной текст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4">
    <w:name w:val="Заголовок №1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8">
    <w:name w:val="Подпись к таблице_"/>
    <w:basedOn w:val="DefaultParagraphFont"/>
    <w:link w:val="Style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30">
    <w:name w:val="Другое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95E8F"/>
      <w:sz w:val="16"/>
      <w:szCs w:val="16"/>
      <w:u w:val="none"/>
    </w:rPr>
  </w:style>
  <w:style w:type="paragraph" w:customStyle="1" w:styleId="Style6">
    <w:name w:val="Колонтитул (2)"/>
    <w:basedOn w:val="Normal"/>
    <w:link w:val="CharStyle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95E8F"/>
      <w:sz w:val="19"/>
      <w:szCs w:val="19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5">
    <w:name w:val="Основной текст (2)"/>
    <w:basedOn w:val="Normal"/>
    <w:link w:val="CharStyle16"/>
    <w:pPr>
      <w:widowControl w:val="0"/>
      <w:shd w:val="clear" w:color="auto" w:fill="auto"/>
      <w:spacing w:after="260" w:line="262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8">
    <w:name w:val="Заголовок №3"/>
    <w:basedOn w:val="Normal"/>
    <w:link w:val="CharStyle19"/>
    <w:pPr>
      <w:widowControl w:val="0"/>
      <w:shd w:val="clear" w:color="auto" w:fill="auto"/>
      <w:spacing w:after="180" w:line="298" w:lineRule="auto"/>
      <w:jc w:val="center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20">
    <w:name w:val="Основной текст"/>
    <w:basedOn w:val="Normal"/>
    <w:link w:val="CharStyle21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3">
    <w:name w:val="Заголовок №1"/>
    <w:basedOn w:val="Normal"/>
    <w:link w:val="CharStyle24"/>
    <w:pPr>
      <w:widowControl w:val="0"/>
      <w:shd w:val="clear" w:color="auto" w:fill="auto"/>
      <w:spacing w:after="1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7">
    <w:name w:val="Подпись к таблице"/>
    <w:basedOn w:val="Normal"/>
    <w:link w:val="CharStyle28"/>
    <w:pPr>
      <w:widowControl w:val="0"/>
      <w:shd w:val="clear" w:color="auto" w:fill="auto"/>
      <w:spacing w:line="276" w:lineRule="auto"/>
      <w:ind w:firstLine="5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9">
    <w:name w:val="Другое"/>
    <w:basedOn w:val="Normal"/>
    <w:link w:val="CharStyle30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/Relationships>
</file>