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38" w:h="1522" w:wrap="none" w:hAnchor="page" w:x="1453" w:y="1734"/>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Хакасия</w:t>
      </w:r>
    </w:p>
    <w:p>
      <w:pPr>
        <w:pStyle w:val="Style2"/>
        <w:keepNext w:val="0"/>
        <w:keepLines w:val="0"/>
        <w:framePr w:w="3538" w:h="1522" w:wrap="none" w:hAnchor="page" w:x="1453" w:y="1734"/>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br/>
        <w:t>е-тай: ю19(йТая.ао\.ги</w:t>
      </w:r>
    </w:p>
    <w:p>
      <w:pPr>
        <w:pStyle w:val="Style7"/>
        <w:keepNext/>
        <w:keepLines/>
        <w:framePr w:w="4310" w:h="878" w:wrap="none" w:hAnchor="page" w:x="1141" w:y="3495"/>
        <w:widowControl w:val="0"/>
        <w:shd w:val="clear" w:color="auto" w:fill="auto"/>
        <w:tabs>
          <w:tab w:pos="1843"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29.10.2024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ОШ/9761/2</w:t>
      </w:r>
      <w:r>
        <w:rPr>
          <w:color w:val="000000"/>
          <w:spacing w:val="0"/>
          <w:w w:val="100"/>
          <w:position w:val="0"/>
          <w:u w:val="none"/>
          <w:shd w:val="clear" w:color="auto" w:fill="auto"/>
          <w:lang w:val="ru-RU" w:eastAsia="ru-RU" w:bidi="ru-RU"/>
        </w:rPr>
        <w:t>4</w:t>
      </w:r>
      <w:bookmarkEnd w:id="0"/>
    </w:p>
    <w:p>
      <w:pPr>
        <w:pStyle w:val="Style5"/>
        <w:keepNext w:val="0"/>
        <w:keepLines w:val="0"/>
        <w:framePr w:w="4310" w:h="878" w:wrap="none" w:hAnchor="page" w:x="1141" w:y="3495"/>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 xml:space="preserve">На№  от</w:t>
      </w:r>
    </w:p>
    <w:p>
      <w:pPr>
        <w:pStyle w:val="Style11"/>
        <w:keepNext w:val="0"/>
        <w:keepLines w:val="0"/>
        <w:framePr w:w="2731" w:h="840" w:wrap="none" w:hAnchor="page" w:x="1213" w:y="4974"/>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решение по жалобе №019/06/106-1564/2024 (АО "Губернские аптеки")</w:t>
      </w:r>
    </w:p>
    <w:p>
      <w:pPr>
        <w:pStyle w:val="Style11"/>
        <w:keepNext w:val="0"/>
        <w:keepLines w:val="0"/>
        <w:framePr w:w="4862" w:h="8021" w:wrap="none" w:hAnchor="page" w:x="6406" w:y="927"/>
        <w:widowControl w:val="0"/>
        <w:shd w:val="clear" w:color="auto" w:fill="auto"/>
        <w:bidi w:val="0"/>
        <w:spacing w:before="0" w:after="0"/>
        <w:ind w:left="0" w:right="0" w:firstLine="0"/>
        <w:jc w:val="left"/>
      </w:pPr>
      <w:r>
        <w:rPr>
          <w:b/>
          <w:bCs/>
          <w:color w:val="000000"/>
          <w:spacing w:val="0"/>
          <w:w w:val="100"/>
          <w:position w:val="0"/>
          <w:shd w:val="clear" w:color="auto" w:fill="auto"/>
          <w:lang w:val="ru-RU" w:eastAsia="ru-RU" w:bidi="ru-RU"/>
        </w:rPr>
        <w:t>Заявителю:</w:t>
      </w:r>
    </w:p>
    <w:p>
      <w:pPr>
        <w:pStyle w:val="Style11"/>
        <w:keepNext w:val="0"/>
        <w:keepLines w:val="0"/>
        <w:framePr w:w="4862" w:h="8021" w:wrap="none" w:hAnchor="page" w:x="6406" w:y="927"/>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АО «Губернские Аптеки»</w:t>
      </w:r>
    </w:p>
    <w:p>
      <w:pPr>
        <w:pStyle w:val="Style11"/>
        <w:keepNext w:val="0"/>
        <w:keepLines w:val="0"/>
        <w:framePr w:w="4862" w:h="8021" w:wrap="none" w:hAnchor="page" w:x="6406" w:y="927"/>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Ьаиеш@дркк.ги</w:t>
      </w:r>
    </w:p>
    <w:p>
      <w:pPr>
        <w:pStyle w:val="Style11"/>
        <w:keepNext w:val="0"/>
        <w:keepLines w:val="0"/>
        <w:framePr w:w="4862" w:h="8021" w:wrap="none" w:hAnchor="page" w:x="6406" w:y="927"/>
        <w:widowControl w:val="0"/>
        <w:shd w:val="clear" w:color="auto" w:fill="auto"/>
        <w:bidi w:val="0"/>
        <w:spacing w:before="0" w:after="0"/>
        <w:ind w:left="0" w:right="0" w:firstLine="0"/>
        <w:jc w:val="left"/>
      </w:pPr>
      <w:r>
        <w:rPr>
          <w:b/>
          <w:bCs/>
          <w:color w:val="000000"/>
          <w:spacing w:val="0"/>
          <w:w w:val="100"/>
          <w:position w:val="0"/>
          <w:shd w:val="clear" w:color="auto" w:fill="auto"/>
          <w:lang w:val="ru-RU" w:eastAsia="ru-RU" w:bidi="ru-RU"/>
        </w:rPr>
        <w:t>Субъектам контроля:</w:t>
      </w:r>
    </w:p>
    <w:p>
      <w:pPr>
        <w:pStyle w:val="Style11"/>
        <w:keepNext w:val="0"/>
        <w:keepLines w:val="0"/>
        <w:framePr w:w="4862" w:h="8021" w:wrap="none" w:hAnchor="page" w:x="6406" w:y="927"/>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Уполномоченному органу -</w:t>
      </w:r>
    </w:p>
    <w:p>
      <w:pPr>
        <w:pStyle w:val="Style11"/>
        <w:keepNext w:val="0"/>
        <w:keepLines w:val="0"/>
        <w:framePr w:w="4862" w:h="8021" w:wrap="none" w:hAnchor="page" w:x="6406" w:y="927"/>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 дх@г-19.ш</w:t>
      </w:r>
    </w:p>
    <w:p>
      <w:pPr>
        <w:pStyle w:val="Style11"/>
        <w:keepNext w:val="0"/>
        <w:keepLines w:val="0"/>
        <w:framePr w:w="4862" w:h="8021" w:wrap="none" w:hAnchor="page" w:x="6406" w:y="927"/>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Государственным заказчикам:</w:t>
      </w:r>
    </w:p>
    <w:p>
      <w:pPr>
        <w:pStyle w:val="Style11"/>
        <w:keepNext w:val="0"/>
        <w:keepLines w:val="0"/>
        <w:framePr w:w="4862" w:h="8021" w:wrap="none" w:hAnchor="page" w:x="6406" w:y="927"/>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ГБУЗ РХ «Белоярская районная больница» 1ог§1-ЬгЬ@уапс1ех.ги</w:t>
      </w:r>
    </w:p>
    <w:p>
      <w:pPr>
        <w:pStyle w:val="Style11"/>
        <w:keepNext w:val="0"/>
        <w:keepLines w:val="0"/>
        <w:framePr w:w="4862" w:h="8021" w:wrap="none" w:hAnchor="page" w:x="6406" w:y="927"/>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ГБУЗ РХ «Республиканская клиническая больница им. ГЯ. Ремишевской» 215811@таП.ш, §ЬихгкЬ@уапс1ех.ги, ар1екагкЬ@Ьк.гп</w:t>
      </w:r>
    </w:p>
    <w:p>
      <w:pPr>
        <w:pStyle w:val="Style11"/>
        <w:keepNext w:val="0"/>
        <w:keepLines w:val="0"/>
        <w:framePr w:w="4862" w:h="8021" w:wrap="none" w:hAnchor="page" w:x="6406" w:y="927"/>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ГБУЗ РХ «Абаканская межрайонная клиническая больница»</w:t>
      </w:r>
    </w:p>
    <w:p>
      <w:pPr>
        <w:pStyle w:val="Style11"/>
        <w:keepNext w:val="0"/>
        <w:keepLines w:val="0"/>
        <w:framePr w:w="4862" w:h="8021" w:wrap="none" w:hAnchor="page" w:x="6406" w:y="927"/>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йе8@тЫ9.ги</w:t>
      </w:r>
    </w:p>
    <w:p>
      <w:pPr>
        <w:pStyle w:val="Style11"/>
        <w:keepNext w:val="0"/>
        <w:keepLines w:val="0"/>
        <w:framePr w:w="4862" w:h="8021" w:wrap="none" w:hAnchor="page" w:x="6406" w:y="927"/>
        <w:widowControl w:val="0"/>
        <w:shd w:val="clear" w:color="auto" w:fill="auto"/>
        <w:bidi w:val="0"/>
        <w:spacing w:before="0" w:after="0"/>
        <w:ind w:left="0" w:right="0" w:firstLine="0"/>
        <w:jc w:val="left"/>
      </w:pPr>
      <w:r>
        <w:rPr>
          <w:b/>
          <w:bCs/>
          <w:color w:val="000000"/>
          <w:spacing w:val="0"/>
          <w:w w:val="100"/>
          <w:position w:val="0"/>
          <w:shd w:val="clear" w:color="auto" w:fill="auto"/>
          <w:lang w:val="ru-RU" w:eastAsia="ru-RU" w:bidi="ru-RU"/>
        </w:rPr>
        <w:t>Оператору электронной площадки:</w:t>
      </w:r>
    </w:p>
    <w:p>
      <w:pPr>
        <w:pStyle w:val="Style11"/>
        <w:keepNext w:val="0"/>
        <w:keepLines w:val="0"/>
        <w:framePr w:w="4862" w:h="8021" w:wrap="none" w:hAnchor="page" w:x="6406" w:y="927"/>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ООО «РТС-Тендер»</w:t>
      </w:r>
    </w:p>
    <w:p>
      <w:pPr>
        <w:pStyle w:val="Style11"/>
        <w:keepNext w:val="0"/>
        <w:keepLines w:val="0"/>
        <w:framePr w:w="4862" w:h="8021" w:wrap="none" w:hAnchor="page" w:x="6406" w:y="927"/>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ко@г18-1еп&lt;1ег.ги</w:t>
      </w:r>
    </w:p>
    <w:p>
      <w:pPr>
        <w:pStyle w:val="Style11"/>
        <w:keepNext w:val="0"/>
        <w:keepLines w:val="0"/>
        <w:framePr w:w="4862" w:h="8021" w:wrap="none" w:hAnchor="page" w:x="6406" w:y="927"/>
        <w:widowControl w:val="0"/>
        <w:shd w:val="clear" w:color="auto" w:fill="auto"/>
        <w:bidi w:val="0"/>
        <w:spacing w:before="0" w:after="260"/>
        <w:ind w:left="0" w:right="0" w:firstLine="0"/>
        <w:jc w:val="left"/>
      </w:pPr>
      <w:r>
        <w:rPr>
          <w:color w:val="000000"/>
          <w:spacing w:val="0"/>
          <w:w w:val="100"/>
          <w:position w:val="0"/>
          <w:shd w:val="clear" w:color="auto" w:fill="auto"/>
          <w:lang w:val="ru-RU" w:eastAsia="ru-RU" w:bidi="ru-RU"/>
        </w:rPr>
        <w:t>Извещение № 0380200000124006156</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6"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537" w:bottom="1216" w:left="1097" w:header="0" w:footer="3" w:gutter="0"/>
          <w:pgNumType w:start="1"/>
          <w:cols w:space="720"/>
          <w:noEndnote/>
          <w:titlePg/>
          <w:rtlGutter w:val="0"/>
          <w:docGrid w:linePitch="360"/>
        </w:sectPr>
      </w:pPr>
    </w:p>
    <w:p>
      <w:pPr>
        <w:pStyle w:val="Style17"/>
        <w:keepNext w:val="0"/>
        <w:keepLines w:val="0"/>
        <w:widowControl w:val="0"/>
        <w:shd w:val="clear" w:color="auto" w:fill="auto"/>
        <w:bidi w:val="0"/>
        <w:spacing w:before="0" w:after="0" w:line="259" w:lineRule="auto"/>
        <w:ind w:left="0" w:right="0" w:firstLine="0"/>
        <w:jc w:val="center"/>
      </w:pPr>
      <w:r>
        <w:rPr>
          <w:b/>
          <w:bCs/>
          <w:color w:val="000000"/>
          <w:spacing w:val="0"/>
          <w:w w:val="100"/>
          <w:position w:val="0"/>
          <w:shd w:val="clear" w:color="auto" w:fill="auto"/>
          <w:lang w:val="ru-RU" w:eastAsia="ru-RU" w:bidi="ru-RU"/>
        </w:rPr>
        <w:t>РЕШЕНИЕ</w:t>
        <w:br/>
        <w:t>по жалобе № 019/06/106-1564/2024</w:t>
      </w:r>
    </w:p>
    <w:p>
      <w:pPr>
        <w:pStyle w:val="Style17"/>
        <w:keepNext w:val="0"/>
        <w:keepLines w:val="0"/>
        <w:widowControl w:val="0"/>
        <w:shd w:val="clear" w:color="auto" w:fill="auto"/>
        <w:tabs>
          <w:tab w:pos="8986" w:val="left"/>
        </w:tabs>
        <w:bidi w:val="0"/>
        <w:spacing w:before="0" w:after="260" w:line="259" w:lineRule="auto"/>
        <w:ind w:left="0" w:right="0" w:firstLine="0"/>
        <w:jc w:val="left"/>
      </w:pPr>
      <w:r>
        <w:rPr>
          <w:color w:val="000000"/>
          <w:spacing w:val="0"/>
          <w:w w:val="100"/>
          <w:position w:val="0"/>
          <w:shd w:val="clear" w:color="auto" w:fill="auto"/>
          <w:lang w:val="ru-RU" w:eastAsia="ru-RU" w:bidi="ru-RU"/>
        </w:rPr>
        <w:t>«24» октября 2024 года</w:t>
        <w:tab/>
        <w:t>г. Абакан</w:t>
      </w:r>
    </w:p>
    <w:p>
      <w:pPr>
        <w:pStyle w:val="Style1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Хакасия по контролю закупок (далее - Комиссия) в составе:</w:t>
      </w:r>
    </w:p>
    <w:p>
      <w:pPr>
        <w:pStyle w:val="Style17"/>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Председателя комиссии: Широковой О.В., зам. руководителя управления,</w:t>
      </w:r>
    </w:p>
    <w:tbl>
      <w:tblPr>
        <w:tblOverlap w:val="never"/>
        <w:jc w:val="center"/>
        <w:tblLayout w:type="fixed"/>
      </w:tblPr>
      <w:tblGrid>
        <w:gridCol w:w="2904"/>
        <w:gridCol w:w="7344"/>
      </w:tblGrid>
      <w:tr>
        <w:trPr>
          <w:trHeight w:val="1416" w:hRule="exact"/>
        </w:trPr>
        <w:tc>
          <w:tcPr>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Членов комиссии:</w:t>
            </w:r>
          </w:p>
        </w:tc>
        <w:tc>
          <w:tcPr>
            <w:tcBorders/>
            <w:shd w:val="clear" w:color="auto" w:fill="auto"/>
            <w:vAlign w:val="bottom"/>
          </w:tcPr>
          <w:p>
            <w:pPr>
              <w:pStyle w:val="Style22"/>
              <w:keepNext w:val="0"/>
              <w:keepLines w:val="0"/>
              <w:widowControl w:val="0"/>
              <w:shd w:val="clear" w:color="auto" w:fill="auto"/>
              <w:bidi w:val="0"/>
              <w:spacing w:before="0" w:after="0"/>
              <w:ind w:left="380" w:right="0" w:firstLine="20"/>
              <w:jc w:val="left"/>
            </w:pPr>
            <w:r>
              <w:rPr>
                <w:color w:val="000000"/>
                <w:spacing w:val="0"/>
                <w:w w:val="100"/>
                <w:position w:val="0"/>
                <w:shd w:val="clear" w:color="auto" w:fill="auto"/>
                <w:lang w:val="ru-RU" w:eastAsia="ru-RU" w:bidi="ru-RU"/>
              </w:rPr>
              <w:t>Лунёвой А.В., начальника отдела контроля закупок и антимонопольного контроля органов власти,</w:t>
            </w:r>
          </w:p>
          <w:p>
            <w:pPr>
              <w:pStyle w:val="Style22"/>
              <w:keepNext w:val="0"/>
              <w:keepLines w:val="0"/>
              <w:widowControl w:val="0"/>
              <w:shd w:val="clear" w:color="auto" w:fill="auto"/>
              <w:bidi w:val="0"/>
              <w:spacing w:before="0" w:after="0"/>
              <w:ind w:left="380" w:right="0" w:firstLine="20"/>
              <w:jc w:val="left"/>
            </w:pPr>
            <w:r>
              <w:rPr>
                <w:color w:val="000000"/>
                <w:spacing w:val="0"/>
                <w:w w:val="100"/>
                <w:position w:val="0"/>
                <w:shd w:val="clear" w:color="auto" w:fill="auto"/>
                <w:lang w:val="ru-RU" w:eastAsia="ru-RU" w:bidi="ru-RU"/>
              </w:rPr>
              <w:t>Ортээлека И.А., ведущего специалиста - эксперта отдела контроля закупок и антимонопольного контроля органов</w:t>
            </w:r>
          </w:p>
        </w:tc>
      </w:tr>
    </w:tbl>
    <w:p>
      <w:pPr>
        <w:widowControl w:val="0"/>
        <w:spacing w:after="39" w:line="1" w:lineRule="exact"/>
      </w:pPr>
    </w:p>
    <w:p>
      <w:pPr>
        <w:pStyle w:val="Style17"/>
        <w:keepNext w:val="0"/>
        <w:keepLines w:val="0"/>
        <w:widowControl w:val="0"/>
        <w:shd w:val="clear" w:color="auto" w:fill="auto"/>
        <w:bidi w:val="0"/>
        <w:spacing w:before="0" w:after="40" w:line="240" w:lineRule="auto"/>
        <w:ind w:left="3300" w:right="0" w:firstLine="0"/>
        <w:jc w:val="left"/>
      </w:pPr>
      <w:r>
        <w:rPr>
          <w:color w:val="000000"/>
          <w:spacing w:val="0"/>
          <w:w w:val="100"/>
          <w:position w:val="0"/>
          <w:shd w:val="clear" w:color="auto" w:fill="auto"/>
          <w:lang w:val="ru-RU" w:eastAsia="ru-RU" w:bidi="ru-RU"/>
        </w:rPr>
        <w:t>власти,</w:t>
      </w:r>
    </w:p>
    <w:p>
      <w:pPr>
        <w:pStyle w:val="Style17"/>
        <w:keepNext w:val="0"/>
        <w:keepLines w:val="0"/>
        <w:widowControl w:val="0"/>
        <w:shd w:val="clear" w:color="auto" w:fill="auto"/>
        <w:bidi w:val="0"/>
        <w:spacing w:before="0" w:after="40" w:line="240" w:lineRule="auto"/>
        <w:ind w:left="0" w:right="0" w:firstLine="580"/>
        <w:jc w:val="both"/>
      </w:pPr>
      <w:r>
        <w:rPr>
          <w:i/>
          <w:iCs/>
          <w:color w:val="000000"/>
          <w:spacing w:val="0"/>
          <w:w w:val="100"/>
          <w:position w:val="0"/>
          <w:shd w:val="clear" w:color="auto" w:fill="auto"/>
          <w:lang w:val="ru-RU" w:eastAsia="ru-RU" w:bidi="ru-RU"/>
        </w:rPr>
        <w:t>при участии представителей:</w:t>
      </w:r>
    </w:p>
    <w:p>
      <w:pPr>
        <w:pStyle w:val="Style17"/>
        <w:keepNext w:val="0"/>
        <w:keepLines w:val="0"/>
        <w:widowControl w:val="0"/>
        <w:shd w:val="clear" w:color="auto" w:fill="auto"/>
        <w:bidi w:val="0"/>
        <w:spacing w:before="0" w:after="40" w:line="240" w:lineRule="auto"/>
        <w:ind w:left="0" w:right="0" w:firstLine="580"/>
        <w:jc w:val="left"/>
      </w:pPr>
      <w:r>
        <w:rPr>
          <w:i/>
          <w:iCs/>
          <w:color w:val="000000"/>
          <w:spacing w:val="0"/>
          <w:w w:val="100"/>
          <w:position w:val="0"/>
          <w:shd w:val="clear" w:color="auto" w:fill="auto"/>
          <w:lang w:val="ru-RU" w:eastAsia="ru-RU" w:bidi="ru-RU"/>
        </w:rPr>
        <w:t>Заявителя —</w:t>
      </w:r>
      <w:r>
        <w:rPr>
          <w:color w:val="000000"/>
          <w:spacing w:val="0"/>
          <w:w w:val="100"/>
          <w:position w:val="0"/>
          <w:shd w:val="clear" w:color="auto" w:fill="auto"/>
          <w:lang w:val="ru-RU" w:eastAsia="ru-RU" w:bidi="ru-RU"/>
        </w:rPr>
        <w:t xml:space="preserve"> Акционерного общества «Губернские Аптеки» (далее - Заявитель,</w:t>
      </w:r>
    </w:p>
    <w:p>
      <w:pPr>
        <w:pStyle w:val="Style17"/>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ru-RU" w:eastAsia="ru-RU" w:bidi="ru-RU"/>
        </w:rPr>
        <w:t>АО «Губернские Аптеки»):</w:t>
      </w:r>
    </w:p>
    <w:p>
      <w:pPr>
        <w:pStyle w:val="Style25"/>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7"/>
        <w:keepNext w:val="0"/>
        <w:keepLines w:val="0"/>
        <w:widowControl w:val="0"/>
        <w:shd w:val="clear" w:color="auto" w:fill="auto"/>
        <w:bidi w:val="0"/>
        <w:spacing w:before="0" w:after="0"/>
        <w:ind w:left="0" w:right="0" w:firstLine="4200"/>
        <w:jc w:val="both"/>
      </w:pPr>
      <w:r>
        <w:rPr>
          <w:color w:val="000000"/>
          <w:spacing w:val="0"/>
          <w:w w:val="100"/>
          <w:position w:val="0"/>
          <w:shd w:val="clear" w:color="auto" w:fill="auto"/>
          <w:lang w:val="ru-RU" w:eastAsia="ru-RU" w:bidi="ru-RU"/>
        </w:rPr>
        <w:t>, на основании доверенности № 26 от 15.02.2024 года,</w:t>
      </w:r>
    </w:p>
    <w:p>
      <w:pPr>
        <w:pStyle w:val="Style17"/>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 Государственного комитета по регулированию контрактной системы в сфере закупок Республики Хакасия (далее - Госкомитет, уполномоченный орган):</w:t>
      </w:r>
    </w:p>
    <w:p>
      <w:pPr>
        <w:pStyle w:val="Style17"/>
        <w:keepNext w:val="0"/>
        <w:keepLines w:val="0"/>
        <w:widowControl w:val="0"/>
        <w:shd w:val="clear" w:color="auto" w:fill="auto"/>
        <w:bidi w:val="0"/>
        <w:spacing w:before="0" w:after="0"/>
        <w:ind w:left="0" w:right="0" w:firstLine="5180"/>
        <w:jc w:val="both"/>
      </w:pPr>
      <w:r>
        <w:rPr>
          <w:color w:val="000000"/>
          <w:spacing w:val="0"/>
          <w:w w:val="100"/>
          <w:position w:val="0"/>
          <w:shd w:val="clear" w:color="auto" w:fill="auto"/>
          <w:lang w:val="ru-RU" w:eastAsia="ru-RU" w:bidi="ru-RU"/>
        </w:rPr>
        <w:t>, на основании доверенности № 5 от 23.01.2024 года,</w:t>
      </w:r>
    </w:p>
    <w:p>
      <w:pPr>
        <w:pStyle w:val="Style17"/>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рассмотрев посредством видео-конференц-связи жалобу АО «Губернские Аптеки» на действия комиссии по осуществлению закупок при проведении электронного аукциона на поставку лекарственных средств (Ривароксабан), лот № 132 на 1 полугодие 2025 (извещение № 0380200000124006156) (далее — Электронный аукцион), и в результате осуществления внеплановой проверки в соответствии с пунктом 1 части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Хакасское УФАС России посредством ЕИС 18.10.2024 поступила жалоба АО «Губернские Аптеки» на действия комиссии по осуществлению закупок при проведении электронного аукциона на поставку лекарственных средств (Ривароксабан), лот № 132 на 1 полугодие 2025.</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комиссии по осуществлению закупок, которая при определении победителя аукциона между двумя участниками с одинаковыми ценовыми предложениями допустила нарушение пункта 1 части 4 статьи 49 Закона о контрактной системе.</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Дополнительно, представитель Заявителя пояснил, что в соответствии с пунктом 1 части 4 статьи 49 Закона о контрактной системе, в случае, если несколькими участниками закупки поданы одинаковые ценовые предложения,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Тем самым, представитель Заявителя, указывает на то, что заявка АО «Губернские Аптеки» была подана раньше чем заявка другого участника, поэтому комиссия должна была руководствоваться вышеуказанной нормой.</w:t>
      </w:r>
    </w:p>
    <w:p>
      <w:pPr>
        <w:pStyle w:val="Style17"/>
        <w:keepNext w:val="0"/>
        <w:keepLines w:val="0"/>
        <w:widowControl w:val="0"/>
        <w:shd w:val="clear" w:color="auto" w:fill="auto"/>
        <w:bidi w:val="0"/>
        <w:spacing w:before="0" w:after="180"/>
        <w:ind w:left="0" w:right="0" w:firstLine="560"/>
        <w:jc w:val="both"/>
      </w:pPr>
      <w:r>
        <w:rPr>
          <w:color w:val="000000"/>
          <w:spacing w:val="0"/>
          <w:w w:val="100"/>
          <w:position w:val="0"/>
          <w:shd w:val="clear" w:color="auto" w:fill="auto"/>
          <w:lang w:val="ru-RU" w:eastAsia="ru-RU" w:bidi="ru-RU"/>
        </w:rPr>
        <w:t>Представитель Госкомитета не согласился с доводами жалобы, представив в материалы дела письменные пояснения, запрашиваемые документы (вх. № 11176- ЭП/24 от 22.10.2024).</w:t>
      </w:r>
    </w:p>
    <w:p>
      <w:pPr>
        <w:pStyle w:val="Style17"/>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(далее - Извещение), электронными документами к нему, протоколами, составленными при определении поставщика (подрядчика, исполнителя):</w:t>
      </w:r>
    </w:p>
    <w:p>
      <w:pPr>
        <w:pStyle w:val="Style17"/>
        <w:keepNext w:val="0"/>
        <w:keepLines w:val="0"/>
        <w:widowControl w:val="0"/>
        <w:numPr>
          <w:ilvl w:val="0"/>
          <w:numId w:val="1"/>
        </w:numPr>
        <w:shd w:val="clear" w:color="auto" w:fill="auto"/>
        <w:tabs>
          <w:tab w:pos="892"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размещено в ЕИС — 03.10.2024;</w:t>
      </w:r>
    </w:p>
    <w:p>
      <w:pPr>
        <w:pStyle w:val="Style17"/>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489 625,58 рублей;</w:t>
      </w:r>
    </w:p>
    <w:p>
      <w:pPr>
        <w:pStyle w:val="Style17"/>
        <w:keepNext w:val="0"/>
        <w:keepLines w:val="0"/>
        <w:widowControl w:val="0"/>
        <w:numPr>
          <w:ilvl w:val="0"/>
          <w:numId w:val="1"/>
        </w:numPr>
        <w:shd w:val="clear" w:color="auto" w:fill="auto"/>
        <w:tabs>
          <w:tab w:pos="918"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7"/>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11.10.2024 11:00;</w:t>
      </w:r>
    </w:p>
    <w:p>
      <w:pPr>
        <w:pStyle w:val="Style17"/>
        <w:keepNext w:val="0"/>
        <w:keepLines w:val="0"/>
        <w:widowControl w:val="0"/>
        <w:numPr>
          <w:ilvl w:val="0"/>
          <w:numId w:val="1"/>
        </w:numPr>
        <w:shd w:val="clear" w:color="auto" w:fill="auto"/>
        <w:tabs>
          <w:tab w:pos="898"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15.10.2024;</w:t>
      </w:r>
    </w:p>
    <w:p>
      <w:pPr>
        <w:pStyle w:val="Style17"/>
        <w:keepNext w:val="0"/>
        <w:keepLines w:val="0"/>
        <w:widowControl w:val="0"/>
        <w:numPr>
          <w:ilvl w:val="0"/>
          <w:numId w:val="1"/>
        </w:numPr>
        <w:shd w:val="clear" w:color="auto" w:fill="auto"/>
        <w:tabs>
          <w:tab w:pos="1138" w:val="left"/>
        </w:tabs>
        <w:bidi w:val="0"/>
        <w:spacing w:before="0" w:after="360"/>
        <w:ind w:left="0" w:right="0" w:firstLine="5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15.10.2024 на участие в закупке подано 3 (три) заявки, из которых 2 (две) были признаны комиссией Заказчика соответствующими установленным требованиям Извещения об осуществлении закупки, 1 (одна) заявка отклонена на основании пункта 4 части 12 статьи 48 Закона о контрактной системе, пункта 4 части 2 Требований к содержанию, составу заявки на участие в закупке: заявка участника не соответствует ограничениям и условиям допуска товаров, происходящих из иностранных государств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7"/>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отношении доводов Заявителя Комиссия приходит к следующим выводам.</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w:t>
      </w:r>
      <w:r>
        <w:rPr>
          <w:color w:val="000000"/>
          <w:spacing w:val="0"/>
          <w:w w:val="100"/>
          <w:position w:val="0"/>
          <w:shd w:val="clear" w:color="auto" w:fill="auto"/>
          <w:lang w:val="ru-RU" w:eastAsia="ru-RU" w:bidi="ru-RU"/>
        </w:rPr>
        <w:t>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Во исполнение указанной выше нормы Правительством РФ принято Постановление № 1289, в пункте 1 которого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7"/>
        <w:keepNext w:val="0"/>
        <w:keepLines w:val="0"/>
        <w:widowControl w:val="0"/>
        <w:numPr>
          <w:ilvl w:val="0"/>
          <w:numId w:val="3"/>
        </w:numPr>
        <w:shd w:val="clear" w:color="auto" w:fill="auto"/>
        <w:tabs>
          <w:tab w:pos="754" w:val="left"/>
        </w:tabs>
        <w:bidi w:val="0"/>
        <w:spacing w:before="0" w:after="0"/>
        <w:ind w:left="0" w:right="0" w:firstLine="54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7"/>
        <w:keepNext w:val="0"/>
        <w:keepLines w:val="0"/>
        <w:widowControl w:val="0"/>
        <w:numPr>
          <w:ilvl w:val="0"/>
          <w:numId w:val="3"/>
        </w:numPr>
        <w:shd w:val="clear" w:color="auto" w:fill="auto"/>
        <w:tabs>
          <w:tab w:pos="745" w:val="left"/>
        </w:tabs>
        <w:bidi w:val="0"/>
        <w:spacing w:before="0" w:after="0"/>
        <w:ind w:left="0" w:right="0" w:firstLine="540"/>
        <w:jc w:val="both"/>
      </w:pPr>
      <w:r>
        <w:rPr>
          <w:color w:val="000000"/>
          <w:spacing w:val="0"/>
          <w:w w:val="100"/>
          <w:position w:val="0"/>
          <w:shd w:val="clear" w:color="auto" w:fill="auto"/>
          <w:lang w:val="ru-RU" w:eastAsia="ru-RU" w:bidi="ru-RU"/>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w:t>
      </w:r>
      <w:r>
        <w:rPr>
          <w:color w:val="000000"/>
          <w:spacing w:val="0"/>
          <w:w w:val="100"/>
          <w:position w:val="0"/>
          <w:shd w:val="clear" w:color="auto" w:fill="auto"/>
          <w:lang w:val="ru-RU" w:eastAsia="ru-RU" w:bidi="ru-RU"/>
        </w:rPr>
        <w:t>предложений).</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Подтверждением страны происхождения лекарственного препарата, в соответствии с пунктом 2 Постановления № 1289, является один из следующих документов:</w:t>
      </w:r>
    </w:p>
    <w:p>
      <w:pPr>
        <w:pStyle w:val="Style17"/>
        <w:keepNext w:val="0"/>
        <w:keepLines w:val="0"/>
        <w:widowControl w:val="0"/>
        <w:numPr>
          <w:ilvl w:val="0"/>
          <w:numId w:val="5"/>
        </w:numPr>
        <w:shd w:val="clear" w:color="auto" w:fill="auto"/>
        <w:tabs>
          <w:tab w:pos="884" w:val="left"/>
        </w:tabs>
        <w:bidi w:val="0"/>
        <w:spacing w:before="0" w:after="0"/>
        <w:ind w:left="0" w:right="0" w:firstLine="56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7"/>
        <w:keepNext w:val="0"/>
        <w:keepLines w:val="0"/>
        <w:widowControl w:val="0"/>
        <w:numPr>
          <w:ilvl w:val="0"/>
          <w:numId w:val="5"/>
        </w:numPr>
        <w:shd w:val="clear" w:color="auto" w:fill="auto"/>
        <w:tabs>
          <w:tab w:pos="903" w:val="left"/>
        </w:tabs>
        <w:bidi w:val="0"/>
        <w:spacing w:before="0" w:after="0"/>
        <w:ind w:left="0" w:right="0" w:firstLine="56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14 719 "О подтверждении производства промышленной продукции на территории Российской Федерации";</w:t>
      </w:r>
    </w:p>
    <w:p>
      <w:pPr>
        <w:pStyle w:val="Style17"/>
        <w:keepNext w:val="0"/>
        <w:keepLines w:val="0"/>
        <w:widowControl w:val="0"/>
        <w:numPr>
          <w:ilvl w:val="0"/>
          <w:numId w:val="5"/>
        </w:numPr>
        <w:shd w:val="clear" w:color="auto" w:fill="auto"/>
        <w:tabs>
          <w:tab w:pos="918" w:val="left"/>
        </w:tabs>
        <w:bidi w:val="0"/>
        <w:spacing w:before="0" w:after="0"/>
        <w:ind w:left="0" w:right="0" w:firstLine="56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7"/>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Согласно пункту 1(1) Постановления № 1289, в случае если после отклонения заявок (окончательных предложений) в порядке, установленном пунктом 1 постановления №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w:t>
      </w:r>
      <w:r>
        <w:rPr>
          <w:b/>
          <w:bCs/>
          <w:color w:val="000000"/>
          <w:spacing w:val="0"/>
          <w:w w:val="100"/>
          <w:position w:val="0"/>
          <w:shd w:val="clear" w:color="auto" w:fill="auto"/>
          <w:lang w:val="ru-RU" w:eastAsia="ru-RU" w:bidi="ru-RU"/>
        </w:rPr>
        <w:t xml:space="preserve">условия допуска для целей осуществления закупок товаров, происходящих из иностранного государства или группы иностранных государств, </w:t>
      </w:r>
      <w:r>
        <w:rPr>
          <w:color w:val="000000"/>
          <w:spacing w:val="0"/>
          <w:w w:val="100"/>
          <w:position w:val="0"/>
          <w:shd w:val="clear" w:color="auto" w:fill="auto"/>
          <w:lang w:val="ru-RU" w:eastAsia="ru-RU" w:bidi="ru-RU"/>
        </w:rPr>
        <w:t xml:space="preserve">установленные федеральным органом исполнительной власти, </w:t>
      </w:r>
      <w:r>
        <w:rPr>
          <w:color w:val="000000"/>
          <w:spacing w:val="0"/>
          <w:w w:val="100"/>
          <w:position w:val="0"/>
          <w:shd w:val="clear" w:color="auto" w:fill="auto"/>
          <w:lang w:val="ru-RU" w:eastAsia="ru-RU" w:bidi="ru-RU"/>
        </w:rPr>
        <w:t>осуществляющим функции по выработке государственной политики и нормативно</w:t>
        <w:softHyphen/>
        <w:t>правовому регулированию в сфере осуществления закупок товаров, работ, услуг для обеспечения государственных и муниципальных нужд.</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При этом, согласно пункту 1(2) Постановления Ы 1289 подтверждением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Ы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пункту 1.4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 126н), в случае отклонения заявок (окончательных предложений) в соответствии с пунктом 1 Постановления Ы 1289, контракт заключается с участником закупки по предложенной им цене контракта при совокупности следующих условий:</w:t>
      </w:r>
    </w:p>
    <w:p>
      <w:pPr>
        <w:pStyle w:val="Style17"/>
        <w:keepNext w:val="0"/>
        <w:keepLines w:val="0"/>
        <w:widowControl w:val="0"/>
        <w:numPr>
          <w:ilvl w:val="0"/>
          <w:numId w:val="7"/>
        </w:numPr>
        <w:shd w:val="clear" w:color="auto" w:fill="auto"/>
        <w:tabs>
          <w:tab w:pos="926" w:val="left"/>
        </w:tabs>
        <w:bidi w:val="0"/>
        <w:spacing w:before="0" w:after="0"/>
        <w:ind w:left="0" w:right="0" w:firstLine="540"/>
        <w:jc w:val="both"/>
      </w:pPr>
      <w:r>
        <w:rPr>
          <w:color w:val="000000"/>
          <w:spacing w:val="0"/>
          <w:w w:val="100"/>
          <w:position w:val="0"/>
          <w:shd w:val="clear" w:color="auto" w:fill="auto"/>
          <w:lang w:val="ru-RU" w:eastAsia="ru-RU" w:bidi="ru-RU"/>
        </w:rPr>
        <w:t>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7"/>
        <w:keepNext w:val="0"/>
        <w:keepLines w:val="0"/>
        <w:widowControl w:val="0"/>
        <w:numPr>
          <w:ilvl w:val="0"/>
          <w:numId w:val="7"/>
        </w:numPr>
        <w:shd w:val="clear" w:color="auto" w:fill="auto"/>
        <w:tabs>
          <w:tab w:pos="926" w:val="left"/>
        </w:tabs>
        <w:bidi w:val="0"/>
        <w:spacing w:before="0" w:after="0"/>
        <w:ind w:left="0" w:right="0" w:firstLine="540"/>
        <w:jc w:val="both"/>
      </w:pPr>
      <w:r>
        <w:rPr>
          <w:color w:val="000000"/>
          <w:spacing w:val="0"/>
          <w:w w:val="100"/>
          <w:position w:val="0"/>
          <w:shd w:val="clear" w:color="auto" w:fill="auto"/>
          <w:lang w:val="ru-RU" w:eastAsia="ru-RU" w:bidi="ru-RU"/>
        </w:rPr>
        <w:t>заявка (окончательное предложение) такого участника закупки соответствует требованиям документации о закупке;</w:t>
      </w:r>
    </w:p>
    <w:p>
      <w:pPr>
        <w:pStyle w:val="Style17"/>
        <w:keepNext w:val="0"/>
        <w:keepLines w:val="0"/>
        <w:widowControl w:val="0"/>
        <w:numPr>
          <w:ilvl w:val="0"/>
          <w:numId w:val="7"/>
        </w:numPr>
        <w:shd w:val="clear" w:color="auto" w:fill="auto"/>
        <w:tabs>
          <w:tab w:pos="926" w:val="left"/>
        </w:tabs>
        <w:bidi w:val="0"/>
        <w:spacing w:before="0" w:after="0"/>
        <w:ind w:left="0" w:right="0" w:firstLine="54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Ы 1289 и при этом соответствуют совокупности условий, указанных в подпунктах "а" и "б" настоящего подпункта;</w:t>
      </w:r>
    </w:p>
    <w:p>
      <w:pPr>
        <w:pStyle w:val="Style17"/>
        <w:keepNext w:val="0"/>
        <w:keepLines w:val="0"/>
        <w:widowControl w:val="0"/>
        <w:numPr>
          <w:ilvl w:val="0"/>
          <w:numId w:val="7"/>
        </w:numPr>
        <w:shd w:val="clear" w:color="auto" w:fill="auto"/>
        <w:tabs>
          <w:tab w:pos="926" w:val="left"/>
        </w:tabs>
        <w:bidi w:val="0"/>
        <w:spacing w:before="0" w:after="0"/>
        <w:ind w:left="0" w:right="0" w:firstLine="54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Ы 1289, но не соответствует условию, указанному в подпункте "а" настоящего подпункта.</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Извещению об осуществлении закупки Заказчик осуществляет закупку по коду КТРУ — 21.20.10.131-00022 «Ривароксабан, таблетки покрытые оболочкой», ОКПД2 входит в Приложение № 1 к приказу Минфина № 126н и значится под позицией № 118, а также включен в Перечень жизненно необходимых и важнейших лекарственных препаратов. В связи с чем, Заказчиком установлены ограничения допуска согласно Постановления № 1289, а также условия допуска в соответствии с приказом № 126н.</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Из информации, представленной в материалы дела оператором электронной площадки ООО «РТС-Тендер», Комиссией Хакасского УФАС России установлено, что на участие в закупке подано три заявки, из которых в двух заявках (участники закупки с идентификационными номерами 117438191 и 117435037) содержатся предложения о поставке лекарственных препаратов, страной происхождения которых является государство - член Евразийского экономического союза (производители АО «Биохимик» (Российская Федерация), ООО «НТФФ «ПОЛИСАН» (Российская Федерация), что подтверждается представленными в составе заявок сертификатами о происхождении товара по форме СТ-1.</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Следовательно, руководствуясь пунктом 1 Постановления № 1289, комиссия по осуществлению закупок на основании пункта 4 части 12 статьи 48 Закона о контрактной системе правомерно отклонила заявку третьего участника, содержащую предложение о поставке лекарственных препаратов, происходящих из иностранных государств (производитель Байер АГ (Германия).</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Помимо прочего, Комиссией Хакасского УФАС России установлено, что ООО «АлькорФарм» (участник закупки с идентификационным номером заявки 117435037) предложен к поставке лекарственный препарат МНН, ТН "Ривароксабан", производства Российская Федерация АО «Биохимик», в дозировках </w:t>
      </w:r>
      <w:r>
        <w:rPr>
          <w:color w:val="000000"/>
          <w:spacing w:val="0"/>
          <w:w w:val="100"/>
          <w:position w:val="0"/>
          <w:shd w:val="clear" w:color="auto" w:fill="auto"/>
          <w:lang w:val="ru-RU" w:eastAsia="ru-RU" w:bidi="ru-RU"/>
        </w:rPr>
        <w:t>10 мг, 15 мг и 20 мг. (регистрационное удостоверение ЛП-№(004269)-(РГ-ВЕГ), страна происхождения — Россия, Республика Мордовия), в составе заявки представлен сертификат о происхождении товара по форме СТ-1, а также продекларированы сведения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 ОМР/ЕАЕИ/ВЕГ/О1244-2024 от 16.04.2024, а также сведения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 - СП-0002927/08/2024 от 01.08.2024 (все стадии производства до получения молекулы осуществляются АО «Биохимик», Республика Мордовия, г. Саранск, ул. Басенко, д. 15А).</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Вместе с этим, в составе заявки АО «Губернские Аптеки» ( участник закупки с идентификационным номером заявки 117438191) предложен к поставке лекарственный препарат МНН: "Ривароксабан", ТН: «Ксарелто®», производства ООО «НТФФ «ПОЛИСАН», Россия (регистрационное удостоверение ЛСР-009820/09, Страна происхождения - Россия), и представлен сертификат о происхождении товара по форме СТ-1. При этом декларация, предусмотренная пунктом 1(2) Постановления Ы 1289, в составе заявки отсутствует, такие сведения участником не представлены.</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Таким образом, поскольку заявка на участие в Аукционе, поданная ООО «АлькорФарм» (участник закупки с идентификационным номером заявки 117435037) соответствует условиям, указанным в пункте 1.4 приказа Минфина № 126н, комиссией уполномоченного органа, при несоответствии указанным условиям заявки АО «Губернские Аптеки» (участник закупки с идентификационным номером заявки 117438191), правомерно принято решение о присвоении заявки ООО «АлькорФарм» первого порядкового номера и заключении с ним контракта.</w:t>
      </w:r>
    </w:p>
    <w:p>
      <w:pPr>
        <w:pStyle w:val="Style17"/>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На заседании Комиссии представитель уполномоченного органа обратил внимание Заявителя на то, что в пункте 9 протокола подведения итогов определения поставщика (подрядчика, исполнителя) № 0380200000124006156 указано решение комиссии о заключении контракта с участником № 117435037, так как заявка на участие в аукционе в электронной форме, поданная данным участником, соответствует условиям, указанным в пп.1.4 п.1 приказа Минфина № 126н, при несоответствии указанным условиям заявок других участников закупки.</w:t>
      </w:r>
      <w:r>
        <w:br w:type="page"/>
      </w:r>
    </w:p>
    <w:p>
      <w:pPr>
        <w:pStyle w:val="Style17"/>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Между тем, представитель Заявителя в своем устном выступлении отказался от доводов жалобы, посчитав, что во время рассмотрения жалобы Комиссией Управления разъяснены все особенности рассмотрения заявок с учетом положений Постановления № 1289 и приказа Минфина № 126н.</w:t>
      </w:r>
    </w:p>
    <w:p>
      <w:pPr>
        <w:pStyle w:val="Style17"/>
        <w:keepNext w:val="0"/>
        <w:keepLines w:val="0"/>
        <w:widowControl w:val="0"/>
        <w:shd w:val="clear" w:color="auto" w:fill="auto"/>
        <w:bidi w:val="0"/>
        <w:spacing w:before="0" w:after="420"/>
        <w:ind w:left="0" w:right="0" w:firstLine="580"/>
        <w:jc w:val="both"/>
      </w:pPr>
      <w:r>
        <w:rPr>
          <w:color w:val="000000"/>
          <w:spacing w:val="0"/>
          <w:w w:val="100"/>
          <w:position w:val="0"/>
          <w:shd w:val="clear" w:color="auto" w:fill="auto"/>
          <w:lang w:val="ru-RU" w:eastAsia="ru-RU" w:bidi="ru-RU"/>
        </w:rPr>
        <w:t>На основании изложенного и руководствуясь положениями Закона о контрактной системе, Комиссия,</w:t>
      </w:r>
    </w:p>
    <w:p>
      <w:pPr>
        <w:pStyle w:val="Style17"/>
        <w:keepNext w:val="0"/>
        <w:keepLines w:val="0"/>
        <w:widowControl w:val="0"/>
        <w:shd w:val="clear" w:color="auto" w:fill="auto"/>
        <w:bidi w:val="0"/>
        <w:spacing w:before="0" w:after="420"/>
        <w:ind w:left="0" w:right="0" w:firstLine="0"/>
        <w:jc w:val="center"/>
      </w:pPr>
      <w:r>
        <w:rPr>
          <w:b/>
          <w:bCs/>
          <w:color w:val="000000"/>
          <w:spacing w:val="0"/>
          <w:w w:val="100"/>
          <w:position w:val="0"/>
          <w:shd w:val="clear" w:color="auto" w:fill="auto"/>
          <w:lang w:val="ru-RU" w:eastAsia="ru-RU" w:bidi="ru-RU"/>
        </w:rPr>
        <w:t>РЕШИЛА:</w:t>
      </w:r>
    </w:p>
    <w:p>
      <w:pPr>
        <w:pStyle w:val="Style17"/>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Признать жалобу АО «Губернские Аптеки» необоснованной.</w:t>
      </w:r>
    </w:p>
    <w:p>
      <w:pPr>
        <w:pStyle w:val="Style11"/>
        <w:keepNext w:val="0"/>
        <w:keepLines w:val="0"/>
        <w:widowControl w:val="0"/>
        <w:shd w:val="clear" w:color="auto" w:fill="auto"/>
        <w:bidi w:val="0"/>
        <w:spacing w:before="0" w:after="0" w:line="305" w:lineRule="auto"/>
        <w:ind w:left="0" w:right="0" w:firstLine="580"/>
        <w:jc w:val="both"/>
        <w:rPr>
          <w:sz w:val="20"/>
          <w:szCs w:val="20"/>
        </w:rPr>
      </w:pPr>
      <w:r>
        <w:rPr>
          <w:i/>
          <w:iCs/>
          <w:color w:val="000000"/>
          <w:spacing w:val="0"/>
          <w:w w:val="100"/>
          <w:position w:val="0"/>
          <w:sz w:val="20"/>
          <w:szCs w:val="20"/>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widowControl w:val="0"/>
        <w:spacing w:line="1" w:lineRule="exact"/>
        <w:sectPr>
          <w:footnotePr>
            <w:pos w:val="pageBottom"/>
            <w:numFmt w:val="decimal"/>
            <w:numRestart w:val="continuous"/>
          </w:footnotePr>
          <w:type w:val="continuous"/>
          <w:pgSz w:w="11900" w:h="16840"/>
          <w:pgMar w:top="1709" w:right="521" w:bottom="1412" w:left="1097" w:header="0" w:footer="3" w:gutter="0"/>
          <w:cols w:space="720"/>
          <w:noEndnote/>
          <w:rtlGutter w:val="0"/>
          <w:docGrid w:linePitch="360"/>
        </w:sectPr>
      </w:pPr>
      <w:r>
        <mc:AlternateContent>
          <mc:Choice Requires="wps">
            <w:drawing>
              <wp:anchor distT="330200" distB="238125" distL="0" distR="0" simplePos="0" relativeHeight="125829378" behindDoc="0" locked="0" layoutInCell="1" allowOverlap="1">
                <wp:simplePos x="0" y="0"/>
                <wp:positionH relativeFrom="page">
                  <wp:posOffset>742315</wp:posOffset>
                </wp:positionH>
                <wp:positionV relativeFrom="paragraph">
                  <wp:posOffset>330200</wp:posOffset>
                </wp:positionV>
                <wp:extent cx="1837690" cy="210185"/>
                <wp:wrapTopAndBottom/>
                <wp:docPr id="9" name="Shape 9"/>
                <a:graphic xmlns:a="http://schemas.openxmlformats.org/drawingml/2006/main">
                  <a:graphicData uri="http://schemas.microsoft.com/office/word/2010/wordprocessingShape">
                    <wps:wsp>
                      <wps:cNvSpPr txBox="1"/>
                      <wps:spPr>
                        <a:xfrm>
                          <a:ext cx="1837690" cy="2101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450000000000003pt;margin-top:26.pt;width:144.70000000000002pt;height:16.550000000000001pt;z-index:-125829375;mso-wrap-distance-left:0;mso-wrap-distance-top:26.pt;mso-wrap-distance-right:0;mso-wrap-distance-bottom:18.7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15290" distB="635" distL="0" distR="1804670" simplePos="0" relativeHeight="125829380" behindDoc="0" locked="0" layoutInCell="1" allowOverlap="1">
            <wp:simplePos x="0" y="0"/>
            <wp:positionH relativeFrom="page">
              <wp:posOffset>2753995</wp:posOffset>
            </wp:positionH>
            <wp:positionV relativeFrom="paragraph">
              <wp:posOffset>415290</wp:posOffset>
            </wp:positionV>
            <wp:extent cx="311150" cy="36576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3147060</wp:posOffset>
                </wp:positionH>
                <wp:positionV relativeFrom="paragraph">
                  <wp:posOffset>488315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7.80000000000001pt;margin-top:38.450000000000003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43560" distB="24765" distL="0" distR="0" simplePos="0" relativeHeight="125829381" behindDoc="0" locked="0" layoutInCell="1" allowOverlap="1">
                <wp:simplePos x="0" y="0"/>
                <wp:positionH relativeFrom="page">
                  <wp:posOffset>6009005</wp:posOffset>
                </wp:positionH>
                <wp:positionV relativeFrom="paragraph">
                  <wp:posOffset>543560</wp:posOffset>
                </wp:positionV>
                <wp:extent cx="1197610" cy="210185"/>
                <wp:wrapTopAndBottom/>
                <wp:docPr id="15" name="Shape 15"/>
                <a:graphic xmlns:a="http://schemas.openxmlformats.org/drawingml/2006/main">
                  <a:graphicData uri="http://schemas.microsoft.com/office/word/2010/wordprocessingShape">
                    <wps:wsp>
                      <wps:cNvSpPr txBox="1"/>
                      <wps:spPr>
                        <a:xfrm>
                          <a:ext cx="1197610" cy="2101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Широкова</w:t>
                            </w:r>
                          </w:p>
                        </w:txbxContent>
                      </wps:txbx>
                      <wps:bodyPr wrap="none" lIns="0" tIns="0" rIns="0" bIns="0">
                        <a:noAutoFit/>
                      </wps:bodyPr>
                    </wps:wsp>
                  </a:graphicData>
                </a:graphic>
              </wp:anchor>
            </w:drawing>
          </mc:Choice>
          <mc:Fallback>
            <w:pict>
              <v:shape id="_x0000_s1041" type="#_x0000_t202" style="position:absolute;margin-left:473.15000000000003pt;margin-top:42.800000000000004pt;width:94.299999999999997pt;height:16.550000000000001pt;z-index:-125829372;mso-wrap-distance-left:0;mso-wrap-distance-top:42.800000000000004pt;mso-wrap-distance-right:0;mso-wrap-distance-bottom:1.9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Широкова</w:t>
                      </w:r>
                    </w:p>
                  </w:txbxContent>
                </v:textbox>
                <w10:wrap type="topAndBottom" anchorx="page"/>
              </v:shape>
            </w:pict>
          </mc:Fallback>
        </mc:AlternateContent>
      </w:r>
    </w:p>
    <w:p>
      <w:pPr>
        <w:pStyle w:val="Style28"/>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Широкова Ольга Владимировна</w:t>
      </w:r>
    </w:p>
    <w:p>
      <w:pPr>
        <w:pStyle w:val="Style3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Сертификат № 492А8328Е79Е9864БЕ7СЕ095Э6564ЕВС</w:t>
      </w:r>
    </w:p>
    <w:p>
      <w:pPr>
        <w:pStyle w:val="Style30"/>
        <w:keepNext w:val="0"/>
        <w:keepLines w:val="0"/>
        <w:widowControl w:val="0"/>
        <w:shd w:val="clear" w:color="auto" w:fill="auto"/>
        <w:bidi w:val="0"/>
        <w:spacing w:before="0" w:after="280" w:line="240" w:lineRule="auto"/>
        <w:ind w:right="0" w:firstLine="0"/>
        <w:jc w:val="left"/>
      </w:pPr>
      <w:r>
        <w:rPr>
          <w:color w:val="000000"/>
          <w:spacing w:val="0"/>
          <w:w w:val="100"/>
          <w:position w:val="0"/>
          <w:shd w:val="clear" w:color="auto" w:fill="auto"/>
          <w:lang w:val="ru-RU" w:eastAsia="ru-RU" w:bidi="ru-RU"/>
        </w:rPr>
        <w:t>Действителен с 20.12.2023 по 14.03.2025</w:t>
      </w:r>
    </w:p>
    <w:p>
      <w:pPr>
        <w:pStyle w:val="Style17"/>
        <w:keepNext w:val="0"/>
        <w:keepLines w:val="0"/>
        <w:widowControl w:val="0"/>
        <w:shd w:val="clear" w:color="auto" w:fill="auto"/>
        <w:bidi w:val="0"/>
        <w:spacing w:before="0" w:after="100" w:line="240" w:lineRule="auto"/>
        <w:ind w:left="0" w:right="0" w:firstLine="0"/>
        <w:jc w:val="left"/>
      </w:pPr>
      <w:r>
        <w:drawing>
          <wp:anchor distT="0" distB="0" distL="114300" distR="1921510" simplePos="0" relativeHeight="125829383" behindDoc="0" locked="0" layoutInCell="1" allowOverlap="1">
            <wp:simplePos x="0" y="0"/>
            <wp:positionH relativeFrom="page">
              <wp:posOffset>2729865</wp:posOffset>
            </wp:positionH>
            <wp:positionV relativeFrom="paragraph">
              <wp:posOffset>203200</wp:posOffset>
            </wp:positionV>
            <wp:extent cx="311150" cy="36576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3122930</wp:posOffset>
                </wp:positionH>
                <wp:positionV relativeFrom="paragraph">
                  <wp:posOffset>276225</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5.90000000000001pt;margin-top:21.75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Члены комиссии:</w:t>
      </w:r>
    </w:p>
    <w:p>
      <w:pPr>
        <w:pStyle w:val="Style17"/>
        <w:keepNext w:val="0"/>
        <w:keepLines w:val="0"/>
        <w:widowControl w:val="0"/>
        <w:shd w:val="clear" w:color="auto" w:fill="auto"/>
        <w:bidi w:val="0"/>
        <w:spacing w:before="0" w:after="170" w:line="240" w:lineRule="auto"/>
        <w:ind w:left="0" w:right="0" w:firstLine="0"/>
        <w:jc w:val="center"/>
      </w:pPr>
      <w:r>
        <w:rPr>
          <w:color w:val="000000"/>
          <w:spacing w:val="0"/>
          <w:w w:val="100"/>
          <w:position w:val="0"/>
          <w:shd w:val="clear" w:color="auto" w:fill="auto"/>
          <w:lang w:val="ru-RU" w:eastAsia="ru-RU" w:bidi="ru-RU"/>
        </w:rPr>
        <w:t>А В. Лунёва</w:t>
      </w:r>
    </w:p>
    <w:p>
      <w:pPr>
        <w:pStyle w:val="Style28"/>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Лунёва Анастасия Владимировна</w:t>
      </w:r>
    </w:p>
    <w:p>
      <w:pPr>
        <w:pStyle w:val="Style3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Сертификат № 4С7Е5706ВЕО95ЕСЕ77В318РОЕ7066225</w:t>
      </w:r>
    </w:p>
    <w:p>
      <w:pPr>
        <w:pStyle w:val="Style30"/>
        <w:keepNext w:val="0"/>
        <w:keepLines w:val="0"/>
        <w:widowControl w:val="0"/>
        <w:shd w:val="clear" w:color="auto" w:fill="auto"/>
        <w:bidi w:val="0"/>
        <w:spacing w:before="0" w:after="220" w:line="240" w:lineRule="auto"/>
        <w:ind w:right="0" w:firstLine="0"/>
        <w:jc w:val="left"/>
      </w:pPr>
      <w:r>
        <w:rPr>
          <w:color w:val="000000"/>
          <w:spacing w:val="0"/>
          <w:w w:val="100"/>
          <w:position w:val="0"/>
          <w:shd w:val="clear" w:color="auto" w:fill="auto"/>
          <w:lang w:val="ru-RU" w:eastAsia="ru-RU" w:bidi="ru-RU"/>
        </w:rPr>
        <w:t>Действителен с 28.05.2024 по 21.08.2025</w:t>
      </w:r>
    </w:p>
    <w:p>
      <w:pPr>
        <w:pStyle w:val="Style17"/>
        <w:keepNext w:val="0"/>
        <w:keepLines w:val="0"/>
        <w:widowControl w:val="0"/>
        <w:shd w:val="clear" w:color="auto" w:fill="auto"/>
        <w:bidi w:val="0"/>
        <w:spacing w:before="0" w:after="530" w:line="240" w:lineRule="auto"/>
        <w:ind w:left="0" w:right="0" w:firstLine="0"/>
        <w:jc w:val="right"/>
      </w:pPr>
      <w:r>
        <w:drawing>
          <wp:anchor distT="0" distB="0" distL="114300" distR="1918970" simplePos="0" relativeHeight="125829384" behindDoc="0" locked="0" layoutInCell="1" allowOverlap="1">
            <wp:simplePos x="0" y="0"/>
            <wp:positionH relativeFrom="page">
              <wp:posOffset>2741930</wp:posOffset>
            </wp:positionH>
            <wp:positionV relativeFrom="paragraph">
              <wp:posOffset>152400</wp:posOffset>
            </wp:positionV>
            <wp:extent cx="316865" cy="3657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316865"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3138170</wp:posOffset>
                </wp:positionH>
                <wp:positionV relativeFrom="paragraph">
                  <wp:posOffset>225425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4"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7.09999999999999pt;margin-top:17.75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4"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И.А. Ортээлек</w:t>
      </w:r>
    </w:p>
    <w:p>
      <w:pPr>
        <w:pStyle w:val="Style28"/>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3900" w:right="0" w:firstLine="0"/>
        <w:jc w:val="left"/>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Ортээлек Игорь Андреевич</w:t>
      </w:r>
    </w:p>
    <w:p>
      <w:pPr>
        <w:pStyle w:val="Style3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Сертификат № 00ВАО55Е7О720Ю005747ВВ79Е97СЕЭЗОЕ</w:t>
      </w:r>
    </w:p>
    <w:p>
      <w:pPr>
        <w:pStyle w:val="Style30"/>
        <w:keepNext w:val="0"/>
        <w:keepLines w:val="0"/>
        <w:widowControl w:val="0"/>
        <w:shd w:val="clear" w:color="auto" w:fill="auto"/>
        <w:bidi w:val="0"/>
        <w:spacing w:before="0" w:after="2340" w:line="240" w:lineRule="auto"/>
        <w:ind w:right="0" w:firstLine="0"/>
        <w:jc w:val="left"/>
      </w:pPr>
      <w:r>
        <w:rPr>
          <w:color w:val="000000"/>
          <w:spacing w:val="0"/>
          <w:w w:val="100"/>
          <w:position w:val="0"/>
          <w:shd w:val="clear" w:color="auto" w:fill="auto"/>
          <w:lang w:val="ru-RU" w:eastAsia="ru-RU" w:bidi="ru-RU"/>
        </w:rPr>
        <w:t>Действителен с 10.09.2024 по 04.12.2025</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Исп.Ортээлек И.А.</w:t>
      </w:r>
    </w:p>
    <w:p>
      <w:pPr>
        <w:pStyle w:val="Style11"/>
        <w:keepNext w:val="0"/>
        <w:keepLines w:val="0"/>
        <w:widowControl w:val="0"/>
        <w:shd w:val="clear" w:color="auto" w:fill="auto"/>
        <w:bidi w:val="0"/>
        <w:spacing w:before="0" w:after="10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тел.8(3902)22-66-21, 019-111</w:t>
      </w:r>
    </w:p>
    <w:sectPr>
      <w:footnotePr>
        <w:pos w:val="pageBottom"/>
        <w:numFmt w:val="decimal"/>
        <w:numRestart w:val="continuous"/>
      </w:footnotePr>
      <w:type w:val="continuous"/>
      <w:pgSz w:w="11900" w:h="16840"/>
      <w:pgMar w:top="1710" w:right="531" w:bottom="1710" w:left="108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725805</wp:posOffset>
              </wp:positionH>
              <wp:positionV relativeFrom="page">
                <wp:posOffset>10015855</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2024-10410</w:t>
                          </w:r>
                        </w:p>
                      </w:txbxContent>
                    </wps:txbx>
                    <wps:bodyPr wrap="none" lIns="0" tIns="0" rIns="0" bIns="0">
                      <a:spAutoFit/>
                    </wps:bodyPr>
                  </wps:wsp>
                </a:graphicData>
              </a:graphic>
            </wp:anchor>
          </w:drawing>
        </mc:Choice>
        <mc:Fallback>
          <w:pict>
            <v:shape id="_x0000_s1031" type="#_x0000_t202" style="position:absolute;margin-left:57.149999999999999pt;margin-top:788.64999999999998pt;width:56.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2024-10410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727075</wp:posOffset>
              </wp:positionH>
              <wp:positionV relativeFrom="page">
                <wp:posOffset>9857740</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2024-10410</w:t>
                          </w:r>
                        </w:p>
                      </w:txbxContent>
                    </wps:txbx>
                    <wps:bodyPr wrap="none" lIns="0" tIns="0" rIns="0" bIns="0">
                      <a:spAutoFit/>
                    </wps:bodyPr>
                  </wps:wsp>
                </a:graphicData>
              </a:graphic>
            </wp:anchor>
          </w:drawing>
        </mc:Choice>
        <mc:Fallback>
          <w:pict>
            <v:shape id="_x0000_s1033" type="#_x0000_t202" style="position:absolute;margin-left:57.25pt;margin-top:776.20000000000005pt;width:56.89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2024-10410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3923030</wp:posOffset>
              </wp:positionH>
              <wp:positionV relativeFrom="page">
                <wp:posOffset>762000</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90000000000003pt;margin-top:60.pt;width:5.29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D608C"/>
      <w:sz w:val="16"/>
      <w:szCs w:val="16"/>
      <w:u w:val="none"/>
    </w:rPr>
  </w:style>
  <w:style w:type="character" w:customStyle="1" w:styleId="CharStyle6">
    <w:name w:val="Основной текст (6)_"/>
    <w:basedOn w:val="DefaultParagraphFont"/>
    <w:link w:val="Style5"/>
    <w:rPr>
      <w:rFonts w:ascii="Times New Roman" w:eastAsia="Times New Roman" w:hAnsi="Times New Roman" w:cs="Times New Roman"/>
      <w:b/>
      <w:bCs/>
      <w:i w:val="0"/>
      <w:iCs w:val="0"/>
      <w:smallCaps w:val="0"/>
      <w:strike w:val="0"/>
      <w:color w:val="4D608C"/>
      <w:sz w:val="19"/>
      <w:szCs w:val="19"/>
      <w:u w:val="none"/>
    </w:rPr>
  </w:style>
  <w:style w:type="character" w:customStyle="1" w:styleId="CharStyle8">
    <w:name w:val="Заголовок №2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 (2)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Колонтитул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sz w:val="12"/>
      <w:szCs w:val="12"/>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Заголовок №1_"/>
    <w:basedOn w:val="DefaultParagraphFont"/>
    <w:link w:val="Style25"/>
    <w:rPr>
      <w:rFonts w:ascii="Arial" w:eastAsia="Arial" w:hAnsi="Arial" w:cs="Arial"/>
      <w:b w:val="0"/>
      <w:bCs w:val="0"/>
      <w:i w:val="0"/>
      <w:iCs w:val="0"/>
      <w:smallCaps w:val="0"/>
      <w:strike w:val="0"/>
      <w:sz w:val="36"/>
      <w:szCs w:val="36"/>
      <w:u w:val="none"/>
    </w:rPr>
  </w:style>
  <w:style w:type="character" w:customStyle="1" w:styleId="CharStyle29">
    <w:name w:val="Основной текст (5)_"/>
    <w:basedOn w:val="DefaultParagraphFont"/>
    <w:link w:val="Style28"/>
    <w:rPr>
      <w:rFonts w:ascii="Georgia" w:eastAsia="Georgia" w:hAnsi="Georgia" w:cs="Georgia"/>
      <w:b w:val="0"/>
      <w:bCs w:val="0"/>
      <w:i w:val="0"/>
      <w:iCs w:val="0"/>
      <w:smallCaps w:val="0"/>
      <w:strike w:val="0"/>
      <w:color w:val="EBEBEB"/>
      <w:sz w:val="12"/>
      <w:szCs w:val="12"/>
      <w:u w:val="none"/>
    </w:rPr>
  </w:style>
  <w:style w:type="character" w:customStyle="1" w:styleId="CharStyle31">
    <w:name w:val="Основной текст (3)_"/>
    <w:basedOn w:val="DefaultParagraphFont"/>
    <w:link w:val="Style30"/>
    <w:rPr>
      <w:rFonts w:ascii="Arial" w:eastAsia="Arial" w:hAnsi="Arial" w:cs="Arial"/>
      <w:b w:val="0"/>
      <w:bCs w:val="0"/>
      <w:i w:val="0"/>
      <w:iCs w:val="0"/>
      <w:smallCaps w:val="0"/>
      <w:strike w:val="0"/>
      <w:sz w:val="12"/>
      <w:szCs w:val="12"/>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D608C"/>
      <w:sz w:val="16"/>
      <w:szCs w:val="16"/>
      <w:u w:val="none"/>
    </w:rPr>
  </w:style>
  <w:style w:type="paragraph" w:customStyle="1" w:styleId="Style5">
    <w:name w:val="Основной текст (6)"/>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D608C"/>
      <w:sz w:val="19"/>
      <w:szCs w:val="19"/>
      <w:u w:val="none"/>
    </w:rPr>
  </w:style>
  <w:style w:type="paragraph" w:customStyle="1" w:styleId="Style7">
    <w:name w:val="Заголовок №2"/>
    <w:basedOn w:val="Normal"/>
    <w:link w:val="CharStyle8"/>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2)"/>
    <w:basedOn w:val="Normal"/>
    <w:link w:val="CharStyle12"/>
    <w:pPr>
      <w:widowControl w:val="0"/>
      <w:shd w:val="clear" w:color="auto" w:fill="auto"/>
      <w:spacing w:after="50" w:line="264"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Колонтитул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Основной текст"/>
    <w:basedOn w:val="Normal"/>
    <w:link w:val="CharStyle18"/>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sz w:val="12"/>
      <w:szCs w:val="12"/>
      <w:u w:val="none"/>
    </w:rPr>
  </w:style>
  <w:style w:type="paragraph" w:customStyle="1" w:styleId="Style22">
    <w:name w:val="Другое"/>
    <w:basedOn w:val="Normal"/>
    <w:link w:val="CharStyle23"/>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Заголовок №1"/>
    <w:basedOn w:val="Normal"/>
    <w:link w:val="CharStyle26"/>
    <w:pPr>
      <w:widowControl w:val="0"/>
      <w:shd w:val="clear" w:color="auto" w:fill="auto"/>
      <w:spacing w:after="40"/>
      <w:outlineLvl w:val="0"/>
    </w:pPr>
    <w:rPr>
      <w:rFonts w:ascii="Arial" w:eastAsia="Arial" w:hAnsi="Arial" w:cs="Arial"/>
      <w:b w:val="0"/>
      <w:bCs w:val="0"/>
      <w:i w:val="0"/>
      <w:iCs w:val="0"/>
      <w:smallCaps w:val="0"/>
      <w:strike w:val="0"/>
      <w:sz w:val="36"/>
      <w:szCs w:val="36"/>
      <w:u w:val="none"/>
    </w:rPr>
  </w:style>
  <w:style w:type="paragraph" w:customStyle="1" w:styleId="Style28">
    <w:name w:val="Основной текст (5)"/>
    <w:basedOn w:val="Normal"/>
    <w:link w:val="CharStyle29"/>
    <w:pPr>
      <w:widowControl w:val="0"/>
      <w:shd w:val="clear" w:color="auto" w:fill="auto"/>
      <w:spacing w:after="100"/>
      <w:ind w:left="1950"/>
      <w:jc w:val="center"/>
    </w:pPr>
    <w:rPr>
      <w:rFonts w:ascii="Georgia" w:eastAsia="Georgia" w:hAnsi="Georgia" w:cs="Georgia"/>
      <w:b w:val="0"/>
      <w:bCs w:val="0"/>
      <w:i w:val="0"/>
      <w:iCs w:val="0"/>
      <w:smallCaps w:val="0"/>
      <w:strike w:val="0"/>
      <w:color w:val="EBEBEB"/>
      <w:sz w:val="12"/>
      <w:szCs w:val="12"/>
      <w:u w:val="none"/>
    </w:rPr>
  </w:style>
  <w:style w:type="paragraph" w:customStyle="1" w:styleId="Style30">
    <w:name w:val="Основной текст (3)"/>
    <w:basedOn w:val="Normal"/>
    <w:link w:val="CharStyle31"/>
    <w:pPr>
      <w:widowControl w:val="0"/>
      <w:shd w:val="clear" w:color="auto" w:fill="auto"/>
      <w:ind w:left="3200"/>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Решение Челябинского УФАС России от 04.10.2024 по жалобе N 074/06/105-2258/2024(377-ж/2024)Нарушение: ч. 4 ст. 14 Закона о контрактной системе, п. 1.4 приказа Минфина России от 04.06.2018 N 126н, п. 1 ч. 5 ст. 49 Закона о контрактной системе.Решение: Признать жалобу обоснованной; выдать предписание об устранении нарушений; передать материалы дела должностному лицу для решения вопроса о возбуждении дела об административном правонарушении.</dc:title>
  <dc:subject/>
  <dc:creator/>
  <cp:keywords/>
</cp:coreProperties>
</file>