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4080" distL="1165860" distR="976630" simplePos="0" relativeHeight="125829378" behindDoc="0" locked="0" layoutInCell="1" allowOverlap="1">
            <wp:simplePos x="0" y="0"/>
            <wp:positionH relativeFrom="page">
              <wp:posOffset>1776730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07390" distL="312420" distR="114300" simplePos="0" relativeHeight="125829379" behindDoc="0" locked="0" layoutInCell="1" allowOverlap="1">
                <wp:simplePos x="0" y="0"/>
                <wp:positionH relativeFrom="page">
                  <wp:posOffset>923290</wp:posOffset>
                </wp:positionH>
                <wp:positionV relativeFrom="paragraph">
                  <wp:posOffset>728980</wp:posOffset>
                </wp:positionV>
                <wp:extent cx="2249170" cy="135318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9170" cy="1353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Ставропольскому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  <w:br/>
                              <w:t>тел. (8652) 35-51-19, факс (8652) 35-51-19</w:t>
                              <w:br/>
                              <w:t>е-тай: 1о26@Га8.цоу.ги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2.700000000000003pt;margin-top:57.399999999999999pt;width:177.09999999999999pt;height:106.55pt;z-index:-125829374;mso-wrap-distance-left:24.600000000000001pt;mso-wrap-distance-top:56.399999999999999pt;mso-wrap-distance-right:9.pt;mso-wrap-distance-bottom:55.7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Ставропольскому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  <w:br/>
                        <w:t>тел. (8652) 35-51-19, факс (8652) 35-51-19</w:t>
                        <w:br/>
                        <w:t>е-тай: 1о26@Га8.цоу.ги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2338070" distB="0" distL="114300" distR="1150620" simplePos="0" relativeHeight="125829381" behindDoc="0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2350770</wp:posOffset>
                </wp:positionV>
                <wp:extent cx="1410970" cy="43878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10970" cy="4387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</w:tabs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100000000000001pt;margin-top:185.09999999999999pt;width:111.10000000000001pt;height:34.550000000000004pt;z-index:-125829372;mso-wrap-distance-left:9.pt;mso-wrap-distance-top:184.09999999999999pt;mso-wrap-distance-right:90.60000000000000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</w:tabs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52400" distB="0" distL="114300" distR="114300" simplePos="0" relativeHeight="125829383" behindDoc="0" locked="0" layoutInCell="1" allowOverlap="1">
            <wp:simplePos x="0" y="0"/>
            <wp:positionH relativeFrom="page">
              <wp:posOffset>718820</wp:posOffset>
            </wp:positionH>
            <wp:positionV relativeFrom="paragraph">
              <wp:posOffset>9262745</wp:posOffset>
            </wp:positionV>
            <wp:extent cx="1517650" cy="28638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"Промедфарм"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107113, г. москва, ул. Шумкина, 20. стр.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ком. 38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1епдегргтГ@тай.ги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здравоохранения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Ставропольского края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355000, г. Ставрополь ул. Маршала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Жукова 42/311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т&amp;@тх26,ги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8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2572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026/06/106-2572/2024</w:t>
        <w:br/>
        <w:t>о нарушении законодательства о закупках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534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24.10.2024</w:t>
        <w:tab/>
        <w:t>г. Ставрополь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210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</w:t>
        <w:tab/>
        <w:t>Управления Федеральной антимонопольной службы по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Ставропольскому краю по контролю в сфере закупок (далее - Комиссия)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заместителя начальника отдела контроля закупок Управления Федеральной антимонопольной службы по Ставропольскому краю Соколова Е. А.,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 ведущего специалиста-эксперта отдела контроля закупок Управления Федеральной антимонопольной службы по Ставропольскому краю Вишневской Е.В.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 Р.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— представитель по доверенности Твердохлебовой О.М., Лещева .М.А.;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- представитель по доверенности Савченко М.И., Кокшанова Д.В..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4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Ставропольское УФАС России поступила жалоба ООО "Промедфарм" на действия заказчика - Министерство здравоохранения Ставропольского края по факту осуществления закупки путем проведения открытого аукциона в электронной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форме № 0121200002124000747 «Поставка смеси энтеральной для медицинского применения для обеспечения государственных нужд Ставропольского края 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проанализировав имеющиеся в деле документы, проведя в соответствии со ст. 99 Закона внеплановую проверку закупки 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- 30.09.2024 г. в ЕИС - /акиркгдоу.ги размещено извещение об осуществлении закупки предметом которой является - «поставка смеси энтеральной для медицинского применения для обеспечения государственных нужд Ставропольского края 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извещения объектом закупки в является: смесь энтеральная для медицинского применения для обеспечения государственных нужд Ставропольского края 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жалобе заявитель указывает на то, что заказчиком в описании объекта закупки, установлены требования к закупаемому товару, соответствующие товару единственного производителя, а именно Бенамин - 40 рЪе.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Ставропольское УФАС России приходит к выводу о не обоснованности жалобы в связи со следующим: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5 ч. 1 ст. 42 Закона № 44-ФЗ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1 ч.1 ст. 33 Закона № 44-ФЗ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65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несовместимость товаров, на которых размещаются другие товарные знаки, 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необходимость обеспечения взаимодействия таких товаров с товарами, используемыми заказчиком;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пояснил, что установил показатели к смеси энтеральной для медицинского применения с учетом потребности медицинских учреждений, в соответствии с Распоряжением Правительства РФ от 11 декабря 2023 №3551-р "Об утверждении перечня специализированных продуктов лечебного питания для детей-инвалидов на 2024 год", согласно которому Бенамин - 40 рЪе внесен в перечень лечебного питания для пациентов страдающих фенилкетонурией, в связи с чем и была организована закупка данного лечебного питания для обеспечения конкретного пациента.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если у Заказчика имеются определенные обоснованные потребности в получении тех или иных товаров, он вправе устанавливать соответствующие требования к товарам, но таким образом, чтобы такие требования не ограничивали количество участников закупки, и в составе одного лота не закупались наряду с товарами, производимыми неограниченным кругом производителей уникальные товары единственного производителя.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установлено, что закупаемая смесь энтеральная для медицинского применения выделена в монолот.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Заказчиком, в материалы дела предоставлены документы свидетельствующие о назначении врачем-генетиком, данного препарата для конкретного пациента.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заявке главного внештатного генетика МЗ СК на обеспечение препаратами лечебного питания больных фенилкетонурией, имеется потребность именно в препарате Бенамин - 40 рЪе.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Учитывая социальную значимость объекта закупки, принимая во внимание специфику применения закупаемого товара, а также учитывая, что проводимый электронный аукцион является монолотом, Комиссия приходит к выводу, что в данном конкретном случае нарушений требований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закупках не может быть установлено.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также отмечает, что Заявителем не представлены сведения, подтверждающие нарушение Заказчиком норм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контрактной системе при проведении рассматриваемой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действиях заказчика отсутствует нарушение требований ст. 8, п. 1 ч.1 ст. 33, ФЗ № 44-ФЗ.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105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"Промедфарм" на действия заказчика - Министерство здравоохранения Ставропольского края по факту осуществления закупки путем проведения открытого аукциона в электронной форме № 0121200002124000747 «Поставка смеси энтеральной для медицинского применения для обеспечения государственных нужд Ставропольского края » - необоснованной.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Е.А. Соколов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Е.В. Вишневская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2637790</wp:posOffset>
            </wp:positionH>
            <wp:positionV relativeFrom="paragraph">
              <wp:posOffset>127000</wp:posOffset>
            </wp:positionV>
            <wp:extent cx="353695" cy="536575"/>
            <wp:wrapSquare wrapText="righ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3094990</wp:posOffset>
                </wp:positionH>
                <wp:positionV relativeFrom="paragraph">
                  <wp:posOffset>526415</wp:posOffset>
                </wp:positionV>
                <wp:extent cx="1283335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3.70000000000002pt;margin-top:41.45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3052445</wp:posOffset>
                </wp:positionH>
                <wp:positionV relativeFrom="paragraph">
                  <wp:posOffset>215265</wp:posOffset>
                </wp:positionV>
                <wp:extent cx="1722120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0.34999999999999pt;margin-top:16.9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В.Р. Калиниченко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67676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right="0" w:firstLine="0"/>
        <w:jc w:val="both"/>
      </w:pPr>
      <w:r>
        <w:rPr>
          <w:color w:val="67676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17.06.2024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10.09.2025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тел.8(8652) 35-28-07, вн.026-140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1074" w:right="542" w:bottom="1324" w:left="1106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9996805</wp:posOffset>
              </wp:positionV>
              <wp:extent cx="71945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2024-15655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950000000000003pt;margin-top:787.14999999999998pt;width:56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2024-15655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9916160</wp:posOffset>
              </wp:positionV>
              <wp:extent cx="719455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2024-15655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100000000000001pt;margin-top:780.80000000000007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2024-15655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72727"/>
      <w:sz w:val="11"/>
      <w:szCs w:val="11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Основной текст (5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6">
    <w:name w:val="Основной текст (3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505050"/>
      <w:sz w:val="12"/>
      <w:szCs w:val="1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1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33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72727"/>
      <w:sz w:val="11"/>
      <w:szCs w:val="11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auto"/>
      <w:spacing w:after="4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ind w:firstLine="5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5">
    <w:name w:val="Основной текст (3)"/>
    <w:basedOn w:val="Normal"/>
    <w:link w:val="CharStyle26"/>
    <w:pPr>
      <w:widowControl w:val="0"/>
      <w:shd w:val="clear" w:color="auto" w:fill="auto"/>
      <w:spacing w:after="640"/>
      <w:ind w:left="30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0505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Решение Пермского УФАС России от 26.10.2023Обстоятельства: По мнению Заявителя, нормы Закона о контрактной системе нарушены действиями Заказчика, а именно: установленные Заказчиком характеристики требуемого к поставке товара ограничивают круг участников закупки, поскольку совокупности установленных требований соответствует товар единственного производителя, а именно, Интерседжикал Лтд., что существенно ограничивает круг потенциальных участников и нарушает законодательство о закупках.Решение: Признать жало</dc:title>
  <dc:subject/>
  <dc:creator/>
  <cp:keywords/>
</cp:coreProperties>
</file>