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88900" distL="114300" distR="1052830" simplePos="0" relativeHeight="125829378" behindDoc="0" locked="0" layoutInCell="1" allowOverlap="1">
                <wp:simplePos x="0" y="0"/>
                <wp:positionH relativeFrom="page">
                  <wp:posOffset>615315</wp:posOffset>
                </wp:positionH>
                <wp:positionV relativeFrom="paragraph">
                  <wp:posOffset>12700</wp:posOffset>
                </wp:positionV>
                <wp:extent cx="2578735" cy="124333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243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</w:t>
                              <w:br/>
                            </w:r>
                            <w:r>
                              <w:rPr>
                                <w:color w:val="4C6891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службы</w:t>
                              <w:br/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по Республике Татарстан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8.450000000000003pt;margin-top:1.pt;width:203.05000000000001pt;height:97.900000000000006pt;z-index:-125829375;mso-wrap-distance-left:9.pt;mso-wrap-distance-right:82.900000000000006pt;mso-wrap-distance-bottom: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</w:t>
                        <w:br/>
                      </w:r>
                      <w:r>
                        <w:rPr>
                          <w:color w:val="4C6891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службы</w:t>
                        <w:br/>
                      </w: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по Республике Татарстан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30810" distB="549275" distL="3049270" distR="114300" simplePos="0" relativeHeight="125829380" behindDoc="0" locked="0" layoutInCell="1" allowOverlap="1">
            <wp:simplePos x="0" y="0"/>
            <wp:positionH relativeFrom="page">
              <wp:posOffset>3550285</wp:posOffset>
            </wp:positionH>
            <wp:positionV relativeFrom="paragraph">
              <wp:posOffset>143510</wp:posOffset>
            </wp:positionV>
            <wp:extent cx="585470" cy="652145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85470" cy="6521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 55. г. Казань, 420021</w:t>
        <w:br/>
        <w:t>тел.: (843) 236-89-22, факс (843) 238-19-46</w:t>
        <w:br/>
        <w:t xml:space="preserve">е-та! I: ю </w:t>
      </w:r>
      <w:r>
        <w:rPr>
          <w:color w:val="6B92CB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6(&amp;4а.ч.!вду.ги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МОНОПОЛИЯГЭ КАРШЫ</w:t>
        <w:br/>
        <w:t>ФЕДЕРАЛЬ ХЕЗМОТ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Монополиям каршы</w:t>
        <w:br/>
        <w:t>Федераль хезмэтнец</w:t>
        <w:br/>
        <w:t>Татарстан Республикасы</w:t>
        <w:br/>
        <w:t>буенча идарэсе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  <w:sectPr>
          <w:headerReference w:type="default" r:id="rId7"/>
          <w:head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821" w:right="1413" w:bottom="944" w:left="1545" w:header="0" w:footer="3" w:gutter="0"/>
          <w:pgNumType w:start="1"/>
          <w:cols w:num="2" w:space="253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Москву ур.. 55 йорт, Казан шэЬэрс, 420021</w:t>
        <w:br/>
        <w:t>тел.: (843) 236-89-22, факс (843)238-19-46</w:t>
        <w:br/>
        <w:t>е-таП: 1о16@Га8.§оу.ги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657860</wp:posOffset>
                </wp:positionH>
                <wp:positionV relativeFrom="paragraph">
                  <wp:posOffset>450850</wp:posOffset>
                </wp:positionV>
                <wp:extent cx="2541905" cy="17653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41905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6B92C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На №ОТ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1.800000000000004pt;margin-top:35.5pt;width:200.15000000000001pt;height:13.9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6B92CB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На №ОТ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widowControl w:val="0"/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ЗДРАВООХРАНЕНИЯ РЕСПУБЛИКИ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5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ТАТАРСТАН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Заявителю: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ОБЩЕСТВО С ОГРАНИЧЕННОЙ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ОТВЕТСТВЕННОСТЬЮ "МЕДИПАЛ-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ОНКО"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5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1епбег@тесйра1-опко.ги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по делу № 016/06/49-1460/2024</w:t>
        <w:br/>
        <w:t>о нарушении законодательства в сфере закупок товаров, работ, услуг</w:t>
        <w:br/>
        <w:t>для обеспечения государственных и муниципальных нужд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6110605</wp:posOffset>
                </wp:positionH>
                <wp:positionV relativeFrom="paragraph">
                  <wp:posOffset>25400</wp:posOffset>
                </wp:positionV>
                <wp:extent cx="719455" cy="216535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945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Казань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81.15000000000003pt;margin-top:2.pt;width:56.649999999999999pt;height:17.050000000000001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Казань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24 октября 2024 года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нужд:</w:t>
      </w:r>
    </w:p>
    <w:tbl>
      <w:tblPr>
        <w:tblOverlap w:val="never"/>
        <w:jc w:val="center"/>
        <w:tblLayout w:type="fixed"/>
      </w:tblPr>
      <w:tblGrid>
        <w:gridCol w:w="5376"/>
        <w:gridCol w:w="4891"/>
      </w:tblGrid>
      <w:tr>
        <w:trPr>
          <w:trHeight w:val="66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Зам.Председателя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Кучеевой А.С. - начальника отдела,</w:t>
            </w:r>
          </w:p>
        </w:tc>
      </w:tr>
      <w:tr>
        <w:trPr>
          <w:trHeight w:val="130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Членов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Курмаевой Г.Р. - старшего государственного инспектора, Акперовой Л.А. - главного специалиста-эксперта,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 присутствии представителей заказчика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Айтовой Л.М. (по доверенности),</w:t>
            </w:r>
          </w:p>
        </w:tc>
      </w:tr>
    </w:tbl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Хайруллиной Г.А. (по доверенности), Пологова А.О. (по доверенности), в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376"/>
        <w:gridCol w:w="4891"/>
      </w:tblGrid>
      <w:tr>
        <w:trPr>
          <w:trHeight w:val="322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присутствии представителя заявителя -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Кузнецова Д.В. (по доверенности),</w:t>
            </w:r>
          </w:p>
        </w:tc>
      </w:tr>
    </w:tbl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по видеоконференции жалобу заявителя ОБЩЕСТВО С ОГРАНИЧЕННОЙ ОТВЕТСТВЕННОСТЬЮ "МЕДИПАЛ-ОНКО" (вх. №11207/ж от 18.10.2024г.) (в ЕИС 18.10.2024) на действия заказчика при проведении закупки по извещению № 0111200002424000899 на предмет: поставка лекарственных средств (Иммуноглобулин человека нормальный) для обеспечения детей-инвалидов,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Извещение о проведении электронного аукциона в электронной форме № 0111200002424000899 размещено на официальном сайте Российской Федерации для размещения информации о размещении заказов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лулулу.аакирккцоу.ги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04.10.2024 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- 31 736 320,00 руб.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Суть жалобы, по мнению заявителя, заказчиком при проведении закупки нарушены требования действующего законодательства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Татарстанского УФАС России по результатам рассмотрения доводов заявителя на действия заказчика и позиции заказчика, изучения документации электронного аукциона приходит к следующим выводам.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довода жалобы о неправомерном допуске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3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"м" - "п" пункта 1, подпунктами "а" - "в" пункта 2, пунктом 5 части 1 статьи 43 настоящего Федерального закона. Заявка также может содержать информацию и документы, предусмотренные подпунктом "д" пункта 2 части 1 статьи 43 настоящего Федерального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подпунктом «а» пункта 1 части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1-8 части 12 статьи 48 настоящего Федерального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 части 12 статьи 48 Закона о контрактной системе, При рассмотрении вторых частей заявок на участие в закупке соответствующая заявка подлежит отклонению в случаях: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234569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протоколом подведения итогов определения поставщика (подрядчика, исполнителя) от 17.10.2024 №ИЭА1 на участие в закупке подано 2 заявки: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2146170 (ООО «НОРДМ-ФАРМ») с ценой 29 673 459,20руб.;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2146032 (ООО «МЕДИПАЛ ОНКО») с ценой 29 832 140,80 руб.;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Победителем закупки была признана заявка участника № 2146170 (000 «НОРДМ-ФАРМ»),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описанию объекта закупки (приложение №1 к извещению) к поставке требуется препарат: «Иммуноглобулин человека нормальный, раствор для инфузий, 100 мг/мл не менее 100 мл (100 мг/мл не менее 50 мл X 2).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Обоснование необходимости указания сведений об упаковке лекарственного препарата (количества упаковок и количества единиц лекарственного препарата во вторичной упаковке): описание объекта закупки электронного аукциона составлено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для обеспечения конкретных пациентов (детей-инвалидов)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лекарственными препаратами в амбулаторных условиях по льготным рецептам».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доводу заявителя, товар, предложенный победителем закупки препарат БиоГам Иммуноглобулин человека нормальный хроматографически очищенный производства АО «НПО «Микроген» не соответствует требованиям документации заказчика, в виду того, что не соответствует требуемой лекарственной форме и дозировке, которые могли бы применяться в отношении детей.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согласно доводам жалобы заявителя, заказчиком неправомерно осуществлен допуск заявки победителя в связи с тем, что последним к поставке был предложен товар не соответствующей требованиям извещения.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Татарстанского УФАС, изучив письменные и устные пояснения сторон, проанализировав представленные заявки участников, пришла к следующему.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ООО «МЕДИПАЛ ОНКО» предложил к поставке МНИ Иммуноголобулин человека нормальный, торговое наименование - Привиджен (раствор для инфузий 100 мг/мл (флакон) 50 мл №1, страна происхождения Швейцария.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Победителем закупки ООО «НОРД-ФАРМ» к поставке был предложен препарат БиоГам Иммуноглобулин человека нормальный хроматографически очищенный производства АО «НПО «Микроген», приложено регистрационное удостоверение ЛП-008690.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данным государственного реестра лекарственных средств, Йлр8://§г18.го8штхс1гау.ги/, указанный препарат производится по двум регистрационным удостоверениям (далее - РУ): ЛП-008690, ЛП-№(005543)-(РГ-КИ).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инструкции по применению с РУ ЛП-№(005543)-(РГ-КИ), в противопоказаниях к применению препарата БиоГам Иммуноглобулин человека нормальный хроматографически очищенный указан детский возраст от 0 до 18 лет.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 внесения изменений в РУ ЛП-008690 от 25.12.2023 г. в инструкции по применению указанного противопоказания не имелось.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п.9 статьи 30 Федерального закона № 61-ФЗ «Об обращении лекарственных средств», допускается обращение лекарственных препаратов для медицинского применения до истечения срока годности, произведенных в течение ста восьмидесяти дней после даты принятия уполномоченным федеральным органом исполнительной власти решения о внесении изменений в документы, содержащиеся в регистрационном досье, в соответствии с информацией, содержащейся в документах регистрационного досье на лекарственный препарат до даты принятия такого решения.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учитывая, что решение о внесении изменений в инструкцию по медицинскому применению лекарственного препарата торгового наименования БиоГам Иммуноглобулин человека нормальный хроматографически очищенный было принято уполномоченным органом 25.12.2023 г., производитель АО «НПК «Микроген» в течение 180 дней с даты принятия такого решения мог производить лекарственный препарат без указанных противопоказаний и обращение такого лекарственного препарата возможно до истечения срока годности.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Заказчиком были направлены запросы производителю указанного препарата АО «НПО «Микроген» с просьбой отгрузить Товар в адрес победителя торгов ООО «НОРД-ФАРМ», препарат без противопоказаний по детскому возрасту, в адрес Грузополучателя (ГУП «Таттехмедфарм») с просьбой осуществления приемки товара по РУ ЛП-008690, указанному в контракте, с инструкцией по применению без противопоказания: детский возраст от 0 до 18 лет.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при рассмотрении и допуске заявок к участию, заказчик руководствовался представленными документами в составе заявки, в том числе, с учетом того, что препарат согласно РУ ЛП-008690 в течение 180 дней с даты внесения изменений в РУ (25.12.2023 г.) мог производить лекарственный препарат без указанных противопоказаний и обращение такого лекарственного препарата возможно до истечения срока годности.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в случае поставки не соответствующего документации товара, данный товар Заказчиком не будет принят.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следует учитывать то, что приемка товара относится к исполнению условий контракта, который будет заключен по результатам закупки, а не к стадии рассмотрения и допуска заявок участников.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Заказчиком правомерно допущена к участию и признан победителем закупки заявка с номером № 2146170 (ООО «НОРДМ-ФАРМ») с ценой 29 673 459,20 руб.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жалобы заявителя признан необоснованным.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руководствуясь пунктом 2 части 22 статьи 99, частью 8 статьи 106 Федерального закона от 05.04.2013 И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8" w:right="764" w:bottom="770" w:left="83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заявителя ОБЩЕСТВО С ОГРАНИЧЕННОЙ ОТВЕТСТВЕННОСТЬЮ "МЕДИПАЛ-ОНКО" (вх. №11207/ж от 18.10.2024г.) (в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389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ЕИС 18.10.2024) на действия заказчика при проведении закупки по извещению № 0111200002424000899</w:t>
        <w:tab/>
        <w:t>на предмет: поставка лекарственных средств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(Иммуноглобулин человека нормальный) для обеспечения детей-инвалидов, необоснованной.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96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Комиссии может быть обжаловано в судебном порядке в течение трех месяцев со дня его принятия.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Зам.Председателя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2260" w:after="0" w:line="240" w:lineRule="auto"/>
        <w:ind w:left="0" w:right="0" w:firstLine="0"/>
        <w:jc w:val="left"/>
      </w:pPr>
      <w:r>
        <w:drawing>
          <wp:anchor distT="0" distB="0" distL="114300" distR="1287780" simplePos="0" relativeHeight="125829385" behindDoc="0" locked="0" layoutInCell="1" allowOverlap="1">
            <wp:simplePos x="0" y="0"/>
            <wp:positionH relativeFrom="page">
              <wp:posOffset>3424555</wp:posOffset>
            </wp:positionH>
            <wp:positionV relativeFrom="margin">
              <wp:posOffset>1243330</wp:posOffset>
            </wp:positionV>
            <wp:extent cx="2334895" cy="2377440"/>
            <wp:wrapSquare wrapText="lef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334895" cy="23774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5884545</wp:posOffset>
                </wp:positionH>
                <wp:positionV relativeFrom="margin">
                  <wp:posOffset>2066290</wp:posOffset>
                </wp:positionV>
                <wp:extent cx="1027430" cy="21653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А.С. Кучеева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63.35000000000002pt;margin-top:162.70000000000002pt;width:80.900000000000006pt;height:17.050000000000001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А.С. Кучеева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5871845</wp:posOffset>
                </wp:positionH>
                <wp:positionV relativeFrom="margin">
                  <wp:posOffset>2474595</wp:posOffset>
                </wp:positionV>
                <wp:extent cx="1048385" cy="21971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838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Г.Р. Курмаева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62.35000000000002pt;margin-top:194.84999999999999pt;width:82.549999999999997pt;height:17.300000000000001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Г.Р. Курмаева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5777865</wp:posOffset>
                </wp:positionH>
                <wp:positionV relativeFrom="margin">
                  <wp:posOffset>2886075</wp:posOffset>
                </wp:positionV>
                <wp:extent cx="1155065" cy="22225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506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Л.А. Акперова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54.94999999999999pt;margin-top:227.25pt;width:90.950000000000003pt;height:17.5pt;z-index:25165773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Л.А. Акперова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601980</wp:posOffset>
                </wp:positionH>
                <wp:positionV relativeFrom="margin">
                  <wp:posOffset>2462530</wp:posOffset>
                </wp:positionV>
                <wp:extent cx="1398905" cy="21653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890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.399999999999999pt;margin-top:193.90000000000001pt;width:110.15000000000001pt;height:17.050000000000001pt;z-index:-125829367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Исп.: Курмаева Г.Р.8(843)293-10-89</w:t>
      </w:r>
    </w:p>
    <w:sectPr>
      <w:headerReference w:type="default" r:id="rId11"/>
      <w:headerReference w:type="even" r:id="rId12"/>
      <w:footnotePr>
        <w:pos w:val="pageBottom"/>
        <w:numFmt w:val="decimal"/>
        <w:numRestart w:val="continuous"/>
      </w:footnotePr>
      <w:pgSz w:w="11900" w:h="16840"/>
      <w:pgMar w:top="1128" w:right="764" w:bottom="770" w:left="835" w:header="0" w:footer="342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3773170</wp:posOffset>
              </wp:positionH>
              <wp:positionV relativeFrom="page">
                <wp:posOffset>304800</wp:posOffset>
              </wp:positionV>
              <wp:extent cx="64135" cy="1066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297.10000000000002pt;margin-top:24.pt;width:5.0499999999999998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3773170</wp:posOffset>
              </wp:positionH>
              <wp:positionV relativeFrom="page">
                <wp:posOffset>304800</wp:posOffset>
              </wp:positionV>
              <wp:extent cx="64135" cy="10668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297.10000000000002pt;margin-top:24.pt;width:5.0499999999999998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3773170</wp:posOffset>
              </wp:positionH>
              <wp:positionV relativeFrom="page">
                <wp:posOffset>304800</wp:posOffset>
              </wp:positionV>
              <wp:extent cx="64135" cy="10668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297.10000000000002pt;margin-top:24.pt;width:5.0499999999999998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6B92CB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C6891"/>
      <w:sz w:val="15"/>
      <w:szCs w:val="15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Подпись к таблице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Друго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Колонтитул (2)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6B92CB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C6891"/>
      <w:sz w:val="15"/>
      <w:szCs w:val="15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before="113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Подпись к таблице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Другое"/>
    <w:basedOn w:val="Normal"/>
    <w:link w:val="CharStyle1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Колонтитул (2)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header" Target="header3.xml"/><Relationship Id="rId12" Type="http://schemas.openxmlformats.org/officeDocument/2006/relationships/header" Target="header4.xml"/></Relationships>
</file>