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2327" w:bottom="1221" w:left="1764" w:header="0" w:footer="3" w:gutter="0"/>
          <w:pgNumType w:start="1"/>
          <w:cols w:num="2" w:space="1483"/>
          <w:noEndnote/>
          <w:titlePg/>
          <w:rtlGutter w:val="0"/>
          <w:docGrid w:linePitch="360"/>
        </w:sectPr>
      </w:pPr>
      <w:r>
        <w:rPr>
          <w:color w:val="000000"/>
          <w:spacing w:val="0"/>
          <w:w w:val="100"/>
          <w:position w:val="0"/>
          <w:shd w:val="clear" w:color="auto" w:fill="auto"/>
          <w:lang w:val="ru-RU" w:eastAsia="ru-RU" w:bidi="ru-RU"/>
        </w:rPr>
        <w:t>Дело №010/06/106-601/2024 04-18/115-2024</w:t>
      </w:r>
    </w:p>
    <w:p>
      <w:pPr>
        <w:widowControl w:val="0"/>
        <w:spacing w:line="1" w:lineRule="exact"/>
      </w:pPr>
      <w:r>
        <mc:AlternateContent>
          <mc:Choice Requires="wps">
            <w:drawing>
              <wp:anchor distT="0" distB="0" distL="0" distR="0" simplePos="0" relativeHeight="125829378" behindDoc="0" locked="0" layoutInCell="1" allowOverlap="1">
                <wp:simplePos x="0" y="0"/>
                <wp:positionH relativeFrom="page">
                  <wp:posOffset>922020</wp:posOffset>
                </wp:positionH>
                <wp:positionV relativeFrom="paragraph">
                  <wp:posOffset>12700</wp:posOffset>
                </wp:positionV>
                <wp:extent cx="2249170" cy="1130935"/>
                <wp:wrapSquare wrapText="bothSides"/>
                <wp:docPr id="5" name="Shape 5"/>
                <a:graphic xmlns:a="http://schemas.openxmlformats.org/drawingml/2006/main">
                  <a:graphicData uri="http://schemas.microsoft.com/office/word/2010/wordprocessingShape">
                    <wps:wsp>
                      <wps:cNvSpPr txBox="1"/>
                      <wps:spPr>
                        <a:xfrm>
                          <a:ext cx="2249170" cy="1130935"/>
                        </a:xfrm>
                        <a:prstGeom prst="rect"/>
                        <a:noFill/>
                      </wps:spPr>
                      <wps:txbx>
                        <w:txbxContent>
                          <w:p>
                            <w:pPr>
                              <w:pStyle w:val="Style2"/>
                              <w:keepNext w:val="0"/>
                              <w:keepLines w:val="0"/>
                              <w:widowControl w:val="0"/>
                              <w:shd w:val="clear" w:color="auto" w:fill="auto"/>
                              <w:bidi w:val="0"/>
                              <w:spacing w:before="0" w:after="0"/>
                              <w:ind w:left="0" w:right="0" w:firstLine="0"/>
                              <w:jc w:val="center"/>
                            </w:pPr>
                            <w:r>
                              <w:rPr>
                                <w:b/>
                                <w:bCs/>
                                <w:spacing w:val="0"/>
                                <w:w w:val="100"/>
                                <w:position w:val="0"/>
                                <w:sz w:val="19"/>
                                <w:szCs w:val="19"/>
                                <w:shd w:val="clear" w:color="auto" w:fill="auto"/>
                                <w:lang w:val="ru-RU" w:eastAsia="ru-RU" w:bidi="ru-RU"/>
                              </w:rPr>
                              <w:t>УПРАВЛЕНИЕ</w:t>
                              <w:br/>
                              <w:t>Федеральной антимонопольной службы</w:t>
                              <w:br/>
                              <w:t>по Республике Карелия</w:t>
                              <w:br/>
                            </w:r>
                            <w:r>
                              <w:rPr>
                                <w:spacing w:val="0"/>
                                <w:w w:val="100"/>
                                <w:position w:val="0"/>
                                <w:shd w:val="clear" w:color="auto" w:fill="auto"/>
                                <w:lang w:val="ru-RU" w:eastAsia="ru-RU" w:bidi="ru-RU"/>
                              </w:rPr>
                              <w:t>наб. Варкауса, 1 а, г. Петрозаводск,</w:t>
                              <w:br/>
                              <w:t>Республика Карелия, 185031</w:t>
                              <w:br/>
                              <w:t>Почтовый адрес: а/я 243, г. Петрозаводск, 185035</w:t>
                              <w:br/>
                              <w:t>тел/факс (8142)78-44-30</w:t>
                              <w:br/>
                              <w:t>е-гпай: 1оЮ@Га8.§оу.ги</w:t>
                            </w:r>
                          </w:p>
                        </w:txbxContent>
                      </wps:txbx>
                      <wps:bodyPr lIns="0" tIns="0" rIns="0" bIns="0">
                        <a:noAutoFit/>
                      </wps:bodyPr>
                    </wps:wsp>
                  </a:graphicData>
                </a:graphic>
              </wp:anchor>
            </w:drawing>
          </mc:Choice>
          <mc:Fallback>
            <w:pict>
              <v:shape id="_x0000_s1031" type="#_x0000_t202" style="position:absolute;margin-left:72.600000000000009pt;margin-top:1.pt;width:177.09999999999999pt;height:89.049999999999997pt;z-index:-12582937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b/>
                          <w:bCs/>
                          <w:spacing w:val="0"/>
                          <w:w w:val="100"/>
                          <w:position w:val="0"/>
                          <w:sz w:val="19"/>
                          <w:szCs w:val="19"/>
                          <w:shd w:val="clear" w:color="auto" w:fill="auto"/>
                          <w:lang w:val="ru-RU" w:eastAsia="ru-RU" w:bidi="ru-RU"/>
                        </w:rPr>
                        <w:t>УПРАВЛЕНИЕ</w:t>
                        <w:br/>
                        <w:t>Федеральной антимонопольной службы</w:t>
                        <w:br/>
                        <w:t>по Республике Карелия</w:t>
                        <w:br/>
                      </w:r>
                      <w:r>
                        <w:rPr>
                          <w:spacing w:val="0"/>
                          <w:w w:val="100"/>
                          <w:position w:val="0"/>
                          <w:shd w:val="clear" w:color="auto" w:fill="auto"/>
                          <w:lang w:val="ru-RU" w:eastAsia="ru-RU" w:bidi="ru-RU"/>
                        </w:rPr>
                        <w:t>наб. Варкауса, 1 а, г. Петрозаводск,</w:t>
                        <w:br/>
                        <w:t>Республика Карелия, 185031</w:t>
                        <w:br/>
                        <w:t>Почтовый адрес: а/я 243, г. Петрозаводск, 185035</w:t>
                        <w:br/>
                        <w:t>тел/факс (8142)78-44-30</w:t>
                        <w:br/>
                        <w:t>е-гпай: 1оЮ@Га8.§оу.ги</w:t>
                      </w:r>
                    </w:p>
                  </w:txbxContent>
                </v:textbox>
                <w10:wrap type="square" anchorx="page"/>
              </v:shape>
            </w:pict>
          </mc:Fallback>
        </mc:AlternateContent>
      </w:r>
    </w:p>
    <w:p>
      <w:pPr>
        <w:pStyle w:val="Style8"/>
        <w:keepNext w:val="0"/>
        <w:keepLines w:val="0"/>
        <w:widowControl w:val="0"/>
        <w:shd w:val="clear" w:color="auto" w:fill="auto"/>
        <w:bidi w:val="0"/>
        <w:spacing w:before="0" w:after="260" w:line="240" w:lineRule="auto"/>
        <w:ind w:left="1440" w:right="0" w:firstLine="0"/>
        <w:jc w:val="left"/>
      </w:pPr>
      <w:r>
        <w:rPr>
          <w:color w:val="000000"/>
          <w:spacing w:val="0"/>
          <w:w w:val="100"/>
          <w:position w:val="0"/>
          <w:shd w:val="clear" w:color="auto" w:fill="auto"/>
          <w:lang w:val="ru-RU" w:eastAsia="ru-RU" w:bidi="ru-RU"/>
        </w:rPr>
        <w:t>МКУ «Расчетный центр» Пудожского района Республики Карелия тигсо.ЪиИ@уап4ех.ги</w:t>
      </w:r>
    </w:p>
    <w:p>
      <w:pPr>
        <w:pStyle w:val="Style8"/>
        <w:keepNext w:val="0"/>
        <w:keepLines w:val="0"/>
        <w:widowControl w:val="0"/>
        <w:shd w:val="clear" w:color="auto" w:fill="auto"/>
        <w:bidi w:val="0"/>
        <w:spacing w:before="0" w:after="0" w:line="240" w:lineRule="auto"/>
        <w:ind w:left="1440" w:right="0" w:firstLine="0"/>
        <w:jc w:val="both"/>
      </w:pPr>
      <w:r>
        <w:rPr>
          <w:color w:val="000000"/>
          <w:spacing w:val="0"/>
          <w:w w:val="100"/>
          <w:position w:val="0"/>
          <w:shd w:val="clear" w:color="auto" w:fill="auto"/>
          <w:lang w:val="ru-RU" w:eastAsia="ru-RU" w:bidi="ru-RU"/>
        </w:rPr>
        <w:t>ООО «Сириус-А»</w:t>
      </w:r>
    </w:p>
    <w:p>
      <w:pPr>
        <w:pStyle w:val="Style8"/>
        <w:keepNext w:val="0"/>
        <w:keepLines w:val="0"/>
        <w:widowControl w:val="0"/>
        <w:shd w:val="clear" w:color="auto" w:fill="auto"/>
        <w:bidi w:val="0"/>
        <w:spacing w:before="0" w:after="0" w:line="240" w:lineRule="auto"/>
        <w:ind w:left="1440" w:right="0" w:firstLine="0"/>
        <w:jc w:val="left"/>
      </w:pPr>
      <w:r>
        <w:rPr>
          <w:color w:val="000000"/>
          <w:spacing w:val="0"/>
          <w:w w:val="100"/>
          <w:position w:val="0"/>
          <w:shd w:val="clear" w:color="auto" w:fill="auto"/>
          <w:lang w:val="ru-RU" w:eastAsia="ru-RU" w:bidi="ru-RU"/>
        </w:rPr>
        <w:t>г. Петрозаводск, ул. М. Горького, д. 24</w:t>
      </w:r>
    </w:p>
    <w:p>
      <w:pPr>
        <w:pStyle w:val="Style8"/>
        <w:keepNext w:val="0"/>
        <w:keepLines w:val="0"/>
        <w:widowControl w:val="0"/>
        <w:shd w:val="clear" w:color="auto" w:fill="auto"/>
        <w:bidi w:val="0"/>
        <w:spacing w:before="0" w:after="0" w:line="240" w:lineRule="auto"/>
        <w:ind w:left="1440" w:right="0" w:firstLine="0"/>
        <w:jc w:val="left"/>
        <w:sectPr>
          <w:footnotePr>
            <w:pos w:val="pageBottom"/>
            <w:numFmt w:val="decimal"/>
            <w:numRestart w:val="continuous"/>
          </w:footnotePr>
          <w:type w:val="continuous"/>
          <w:pgSz w:w="11900" w:h="16840"/>
          <w:pgMar w:top="1162" w:right="1227" w:bottom="1221" w:left="4994" w:header="0" w:footer="3" w:gutter="0"/>
          <w:cols w:space="720"/>
          <w:noEndnote/>
          <w:rtlGutter w:val="0"/>
          <w:docGrid w:linePitch="360"/>
        </w:sectPr>
      </w:pPr>
      <w:r>
        <w:rPr>
          <w:color w:val="000000"/>
          <w:spacing w:val="0"/>
          <w:w w:val="100"/>
          <w:position w:val="0"/>
          <w:shd w:val="clear" w:color="auto" w:fill="auto"/>
          <w:lang w:val="ru-RU" w:eastAsia="ru-RU" w:bidi="ru-RU"/>
        </w:rPr>
        <w:t>аЪа^утоV@^с1ои^. сот</w:t>
      </w:r>
    </w:p>
    <w:p>
      <w:pPr>
        <w:widowControl w:val="0"/>
        <w:spacing w:line="119" w:lineRule="exact"/>
        <w:rPr>
          <w:sz w:val="10"/>
          <w:szCs w:val="10"/>
        </w:rPr>
      </w:pPr>
    </w:p>
    <w:p>
      <w:pPr>
        <w:widowControl w:val="0"/>
        <w:spacing w:line="1" w:lineRule="exact"/>
        <w:sectPr>
          <w:footnotePr>
            <w:pos w:val="pageBottom"/>
            <w:numFmt w:val="decimal"/>
            <w:numRestart w:val="continuous"/>
          </w:footnotePr>
          <w:type w:val="continuous"/>
          <w:pgSz w:w="11900" w:h="16840"/>
          <w:pgMar w:top="1162" w:right="0" w:bottom="1216" w:left="0" w:header="0" w:footer="3" w:gutter="0"/>
          <w:cols w:space="720"/>
          <w:noEndnote/>
          <w:rtlGutter w:val="0"/>
          <w:docGrid w:linePitch="360"/>
        </w:sectPr>
      </w:pPr>
    </w:p>
    <w:p>
      <w:pPr>
        <w:pStyle w:val="Style11"/>
        <w:keepNext w:val="0"/>
        <w:keepLines w:val="0"/>
        <w:framePr w:w="485" w:h="240" w:wrap="none" w:vAnchor="text" w:hAnchor="page" w:x="1141" w:y="21"/>
        <w:widowControl w:val="0"/>
        <w:shd w:val="clear" w:color="auto" w:fill="auto"/>
        <w:bidi w:val="0"/>
        <w:spacing w:before="0" w:after="0" w:line="240" w:lineRule="auto"/>
        <w:ind w:left="0" w:right="0" w:firstLine="0"/>
        <w:jc w:val="left"/>
        <w:rPr>
          <w:sz w:val="19"/>
          <w:szCs w:val="19"/>
        </w:rPr>
      </w:pPr>
      <w:r>
        <w:rPr>
          <w:i w:val="0"/>
          <w:iCs w:val="0"/>
          <w:color w:val="4460A2"/>
          <w:spacing w:val="0"/>
          <w:w w:val="100"/>
          <w:position w:val="0"/>
          <w:sz w:val="19"/>
          <w:szCs w:val="19"/>
          <w:shd w:val="clear" w:color="auto" w:fill="auto"/>
          <w:lang w:val="ru-RU" w:eastAsia="ru-RU" w:bidi="ru-RU"/>
        </w:rPr>
        <w:t>На№</w:t>
      </w:r>
    </w:p>
    <w:p>
      <w:pPr>
        <w:widowControl w:val="0"/>
        <w:spacing w:after="239" w:line="1" w:lineRule="exact"/>
      </w:pPr>
    </w:p>
    <w:p>
      <w:pPr>
        <w:widowControl w:val="0"/>
        <w:spacing w:line="1" w:lineRule="exact"/>
        <w:sectPr>
          <w:footnotePr>
            <w:pos w:val="pageBottom"/>
            <w:numFmt w:val="decimal"/>
            <w:numRestart w:val="continuous"/>
          </w:footnotePr>
          <w:type w:val="continuous"/>
          <w:pgSz w:w="11900" w:h="16840"/>
          <w:pgMar w:top="1162" w:right="546" w:bottom="1216" w:left="1097"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87" w:after="8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40" w:right="0" w:bottom="1180" w:left="0" w:header="0" w:footer="3" w:gutter="0"/>
          <w:cols w:space="720"/>
          <w:noEndnote/>
          <w:rtlGutter w:val="0"/>
          <w:docGrid w:linePitch="360"/>
        </w:sectPr>
      </w:pPr>
    </w:p>
    <w:p>
      <w:pPr>
        <w:pStyle w:val="Style8"/>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w:t>
        <w:br/>
        <w:t>по делу № 010/06/106-601/2024</w:t>
      </w:r>
    </w:p>
    <w:p>
      <w:pPr>
        <w:pStyle w:val="Style8"/>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г. Петрозаводск</w:t>
      </w:r>
    </w:p>
    <w:p>
      <w:pPr>
        <w:pStyle w:val="Style8"/>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Резолютивная часть решения объявлена 25 октября 2024 года Решение в полном объеме изготовлено 30 октября 2024 года</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Карельского УФАС России по контролю в сфере закупок для государственных и муниципальных нужд в составе:</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Грущакова Г.А. - заместитель председателя Комиссии, заместитель руководителя - начальник отдела контроля органов власти и закупок Карельского УФАС России;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Ковалева О.В. - член Комиссии, ведущий специалист-эксперт отдела контроля органов власти и закупок Карельского УФАС России;</w:t>
      </w:r>
    </w:p>
    <w:p>
      <w:pPr>
        <w:pStyle w:val="Style8"/>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Лайдинен О.В. - член Комиссии, ведущий специалист-эксперт отдела контроля органов власти и закупок Карельского УФАС России,</w:t>
      </w:r>
    </w:p>
    <w:p>
      <w:pPr>
        <w:pStyle w:val="Style8"/>
        <w:keepNext w:val="0"/>
        <w:keepLines w:val="0"/>
        <w:widowControl w:val="0"/>
        <w:shd w:val="clear" w:color="auto" w:fill="auto"/>
        <w:bidi w:val="0"/>
        <w:spacing w:before="0" w:after="960" w:line="240" w:lineRule="auto"/>
        <w:ind w:left="0" w:right="0" w:firstLine="740"/>
        <w:jc w:val="both"/>
      </w:pPr>
      <w:r>
        <w:rPr>
          <w:color w:val="000000"/>
          <w:spacing w:val="0"/>
          <w:w w:val="100"/>
          <w:position w:val="0"/>
          <w:shd w:val="clear" w:color="auto" w:fill="auto"/>
          <w:lang w:val="ru-RU" w:eastAsia="ru-RU" w:bidi="ru-RU"/>
        </w:rPr>
        <w:t>при участии в заседании Комиссии в режиме видео-конференц-связи до перерыва представителя Заявителя - Умнихина И.Л. (полномочия подтверждены), после перерыва представителя Заказчика - Дьяковой Н.Ф. (полномочия подтверждены), рассмотрев жалобу ООО «СИРИУС-А» на действия МКУ «Расчетный центр» Пудожского района Республики Карелия (уполномоченное учреждение) при проведении аукциона в электронной форме на оказание услуг систем обеспечения безопасности (извещение №0806300005824000002) (далее - аукцион) и в результате осуществления внеплановой проверки в соответствии с частью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val="0"/>
        <w:keepLines w:val="0"/>
        <w:widowControl w:val="0"/>
        <w:shd w:val="clear" w:color="auto" w:fill="auto"/>
        <w:bidi w:val="0"/>
        <w:spacing w:before="0" w:line="240" w:lineRule="auto"/>
        <w:ind w:left="0" w:right="0" w:firstLine="0"/>
        <w:jc w:val="both"/>
      </w:pPr>
      <w:r>
        <w:rPr>
          <w:b w:val="0"/>
          <w:bCs w:val="0"/>
          <w:color w:val="000000"/>
          <w:spacing w:val="0"/>
          <w:w w:val="100"/>
          <w:position w:val="0"/>
          <w:shd w:val="clear" w:color="auto" w:fill="auto"/>
          <w:lang w:val="ru-RU" w:eastAsia="ru-RU" w:bidi="ru-RU"/>
        </w:rPr>
        <w:t>111111111111</w:t>
      </w:r>
      <w:r>
        <w:rPr>
          <w:color w:val="000000"/>
          <w:spacing w:val="0"/>
          <w:w w:val="100"/>
          <w:position w:val="0"/>
          <w:shd w:val="clear" w:color="auto" w:fill="auto"/>
          <w:lang w:val="ru-RU" w:eastAsia="ru-RU" w:bidi="ru-RU"/>
        </w:rPr>
        <w:t>111111111111</w:t>
      </w:r>
    </w:p>
    <w:p>
      <w:pPr>
        <w:pStyle w:val="Style8"/>
        <w:keepNext w:val="0"/>
        <w:keepLines w:val="0"/>
        <w:widowControl w:val="0"/>
        <w:shd w:val="clear" w:color="auto" w:fill="auto"/>
        <w:bidi w:val="0"/>
        <w:spacing w:before="0" w:after="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Карельское УФАС России 19.10.2024 (вх. от 21.10.2024 №6423/24) через Единую информационную систему в сфере закупок поступила жалоба Заявителя на действия МКУ «Расчетный центр» Пудожского района Республики Карелия при проведении закупки на услуги обеспечения систем безопасности.</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 Заявитель в жалобе указал, что Заказчик не обратился к нему с запросом коммерческого предложения как к организации, которая несколько лет выполняла работы, предусмотренные предметом закупки. Кроме того, по мнению Заявителя, при проведении закупки установлены дополнительные завышенные требования, ограничивающие количество участников и конкуренцию.</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МКУ «Расчетный центр» Пудожского района Республики Карелия в письменных пояснениях от 23.10.2024 №154, от 25.10.2024 №155 с доводами жалобы не согласилось, просило признать ее не обоснованной.</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Относительно рассматриваемой закупки Комиссией Карельского УФАС России установлены следующие сведения:</w:t>
      </w:r>
    </w:p>
    <w:p>
      <w:pPr>
        <w:pStyle w:val="Style8"/>
        <w:keepNext w:val="0"/>
        <w:keepLines w:val="0"/>
        <w:widowControl w:val="0"/>
        <w:numPr>
          <w:ilvl w:val="0"/>
          <w:numId w:val="1"/>
        </w:numPr>
        <w:shd w:val="clear" w:color="auto" w:fill="auto"/>
        <w:tabs>
          <w:tab w:pos="83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о проведении аукциона в электронной форме размещено на официальном сайте Единой информационной системы в сфере закупок (11ир:///акирк1.доу.ги) 16.10.2024;</w:t>
      </w:r>
    </w:p>
    <w:p>
      <w:pPr>
        <w:pStyle w:val="Style8"/>
        <w:keepNext w:val="0"/>
        <w:keepLines w:val="0"/>
        <w:widowControl w:val="0"/>
        <w:numPr>
          <w:ilvl w:val="0"/>
          <w:numId w:val="1"/>
        </w:numPr>
        <w:shd w:val="clear" w:color="auto" w:fill="auto"/>
        <w:tabs>
          <w:tab w:pos="130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адрес электронной площадки - 1Шр:/Лу\у\у.8ЬегЬапк-аЦ.П1;</w:t>
      </w:r>
    </w:p>
    <w:p>
      <w:pPr>
        <w:pStyle w:val="Style8"/>
        <w:keepNext w:val="0"/>
        <w:keepLines w:val="0"/>
        <w:widowControl w:val="0"/>
        <w:numPr>
          <w:ilvl w:val="0"/>
          <w:numId w:val="1"/>
        </w:numPr>
        <w:shd w:val="clear" w:color="auto" w:fill="auto"/>
        <w:tabs>
          <w:tab w:pos="130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номер извещения - 0806300005824000002;</w:t>
      </w:r>
    </w:p>
    <w:p>
      <w:pPr>
        <w:pStyle w:val="Style8"/>
        <w:keepNext w:val="0"/>
        <w:keepLines w:val="0"/>
        <w:widowControl w:val="0"/>
        <w:numPr>
          <w:ilvl w:val="0"/>
          <w:numId w:val="1"/>
        </w:numPr>
        <w:shd w:val="clear" w:color="auto" w:fill="auto"/>
        <w:tabs>
          <w:tab w:pos="130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наименование объекта закупки - услуги систем обеспечения безопасности;</w:t>
      </w:r>
    </w:p>
    <w:p>
      <w:pPr>
        <w:pStyle w:val="Style8"/>
        <w:keepNext w:val="0"/>
        <w:keepLines w:val="0"/>
        <w:widowControl w:val="0"/>
        <w:numPr>
          <w:ilvl w:val="0"/>
          <w:numId w:val="1"/>
        </w:numPr>
        <w:shd w:val="clear" w:color="auto" w:fill="auto"/>
        <w:tabs>
          <w:tab w:pos="130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способ закупки - аукцион в электронной форме;</w:t>
      </w:r>
    </w:p>
    <w:p>
      <w:pPr>
        <w:pStyle w:val="Style8"/>
        <w:keepNext w:val="0"/>
        <w:keepLines w:val="0"/>
        <w:widowControl w:val="0"/>
        <w:numPr>
          <w:ilvl w:val="0"/>
          <w:numId w:val="1"/>
        </w:numPr>
        <w:shd w:val="clear" w:color="auto" w:fill="auto"/>
        <w:tabs>
          <w:tab w:pos="838"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уполномоченное учреждение - МКУ «Расчетный цент» Пудожского района Республики Карелия;</w:t>
      </w:r>
    </w:p>
    <w:p>
      <w:pPr>
        <w:pStyle w:val="Style8"/>
        <w:keepNext w:val="0"/>
        <w:keepLines w:val="0"/>
        <w:widowControl w:val="0"/>
        <w:numPr>
          <w:ilvl w:val="0"/>
          <w:numId w:val="1"/>
        </w:numPr>
        <w:shd w:val="clear" w:color="auto" w:fill="auto"/>
        <w:tabs>
          <w:tab w:pos="843"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Заказчики - МКДОУ №1 г. Пудож; МКОУ ООШ №2 г. Пудож; МКОУ СОШ №3 г.Пудож; МКОУ СОШ д. Авдеево; МКОУ СОШ п. Пяльма; МКОУ ООШ п. Шальский; МКОУ ООШ п. Кривцы; МКОУ ООШ п. Кубово; МКОУ ООШ п. Водла; МКОУ ООШ д.Каршево; МКОУ ООШ п. Пудожгорский; МКОУ ООШ д. Куганаволок; МКОУ ЦПМСС;</w:t>
      </w:r>
    </w:p>
    <w:p>
      <w:pPr>
        <w:pStyle w:val="Style8"/>
        <w:keepNext w:val="0"/>
        <w:keepLines w:val="0"/>
        <w:widowControl w:val="0"/>
        <w:numPr>
          <w:ilvl w:val="0"/>
          <w:numId w:val="1"/>
        </w:numPr>
        <w:shd w:val="clear" w:color="auto" w:fill="auto"/>
        <w:tabs>
          <w:tab w:pos="130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начальная (максимальная) цена контракта - 1 470 000, 00 рублей.</w:t>
      </w:r>
    </w:p>
    <w:p>
      <w:pPr>
        <w:pStyle w:val="Style8"/>
        <w:keepNext w:val="0"/>
        <w:keepLines w:val="0"/>
        <w:widowControl w:val="0"/>
        <w:shd w:val="clear" w:color="auto" w:fill="auto"/>
        <w:bidi w:val="0"/>
        <w:spacing w:before="0" w:after="560" w:line="240" w:lineRule="auto"/>
        <w:ind w:left="0" w:right="0" w:firstLine="580"/>
        <w:jc w:val="both"/>
      </w:pPr>
      <w:r>
        <w:rPr>
          <w:color w:val="000000"/>
          <w:spacing w:val="0"/>
          <w:w w:val="100"/>
          <w:position w:val="0"/>
          <w:shd w:val="clear" w:color="auto" w:fill="auto"/>
          <w:lang w:val="ru-RU" w:eastAsia="ru-RU" w:bidi="ru-RU"/>
        </w:rPr>
        <w:t>Рассмотрение жалобы назначено на 11 часов 00 минут 24.10.2024 в режиме видео</w:t>
        <w:softHyphen/>
        <w:t>конференц-связи, состоялось в указанное время. В принятии решения по жалобе был объявлен перерыв до 12 часов 00 минут 25.10.2024, о чем стороны уведомлены письменно.</w:t>
      </w:r>
    </w:p>
    <w:p>
      <w:pPr>
        <w:pStyle w:val="Style8"/>
        <w:keepNext w:val="0"/>
        <w:keepLines w:val="0"/>
        <w:widowControl w:val="0"/>
        <w:shd w:val="clear" w:color="auto" w:fill="auto"/>
        <w:bidi w:val="0"/>
        <w:spacing w:before="0" w:after="260" w:line="240" w:lineRule="auto"/>
        <w:ind w:left="0" w:right="0" w:firstLine="580"/>
        <w:jc w:val="both"/>
      </w:pPr>
      <w:r>
        <w:rPr>
          <w:b/>
          <w:bCs/>
          <w:color w:val="000000"/>
          <w:spacing w:val="0"/>
          <w:w w:val="100"/>
          <w:position w:val="0"/>
          <w:shd w:val="clear" w:color="auto" w:fill="auto"/>
          <w:lang w:val="ru-RU" w:eastAsia="ru-RU" w:bidi="ru-RU"/>
        </w:rPr>
        <w:t>Изучив представленные материалы, заслушав представителя Заявителя, Комиссия Карельского УФАС России пришла к следующим выводам.</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запрещается установление требований, которые приводят к ограничению конкуренции, в частности, к необоснованному ограничению числа участников закупок.</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Частью 6 статьи 31 Закона о контрактной системе предусмотрено, что Заказчики не вправе устанавливать требования к участникам закупок в нарушение требований настоящего Федерального закона.</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силу пункта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w:t>
      </w:r>
      <w:r>
        <w:rPr>
          <w:color w:val="000000"/>
          <w:spacing w:val="0"/>
          <w:w w:val="100"/>
          <w:position w:val="0"/>
          <w:shd w:val="clear" w:color="auto" w:fill="auto"/>
          <w:lang w:val="ru-RU" w:eastAsia="ru-RU" w:bidi="ru-RU"/>
        </w:rPr>
        <w:t>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требованиям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(часть 4 статьи 31 Закона о контрактной системе).</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 подпунктом «а» пункта 1 постановления Правительства РФ от 29.12.2021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№2571) предусмотрено, что к участникам закупки отдельных видов товаров, работ, услуг, участникам отдельных видов закупок товаров, работ, услуг предъявляются дополнительные требования согласно приложению (далее - Приложение).</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 при проведении закупки установил к ее участникам требования о наличии опыта, предусмотренного пунктом 14 Приложения к Постановлению №2571.</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 согласно указанной норме к участникам закупки на выполнение работ, услуг по техническому обслуживанию зданий, сооружений, устанавливается требование о наличии у участника закупки опыта выполнения работ по договору, предусматривающему выполнение работ, оказание услуг по техническому обслуживанию зданий, сооружений. Цена выполненных работ, оказанных услуг по такому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 документам, подтверждающим соответствие участников закупки дополнительным требованиям, относятся:</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1) исполненный договор;</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2) акт выполненных работ, оказанных услуг, подтверждающий цену выполненных работ, оказанных услуг.</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пункту 3 Постановления Правительства №2571 положения данного постановления применяются при проведении конкурентных способов определения поставщиков (подрядчиков, исполнителей), при этом позиция 14 Приложения применяется в случае, если при осуществлении закупки начальная (максимальная) цена контракта превышает 1 млн. рублей.</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части 6 статьи 55.24 Градостроительного кодекса Российской Федерации в целях обеспечения безопасности зданий, сооружений в процессе их эксплуатации должны обеспечиваться техническое обслуживание зданий, сооружений, эксплуатационный контроль, текущий ремонт зданий, сооружений.</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соответствии с частью 8 названной статьи техническое обслуживание зданий, сооружений, текущий ремонт зданий, сооружений проводятся в целях обеспечения надлежащего технического состояния таких зданий, сооружений. Под надлежащим техническим состоянием зданий, сооружений понимаются поддержание параметров </w:t>
      </w:r>
      <w:r>
        <w:rPr>
          <w:color w:val="000000"/>
          <w:spacing w:val="0"/>
          <w:w w:val="100"/>
          <w:position w:val="0"/>
          <w:shd w:val="clear" w:color="auto" w:fill="auto"/>
          <w:lang w:val="ru-RU" w:eastAsia="ru-RU" w:bidi="ru-RU"/>
        </w:rPr>
        <w:t>устойчивости, надежности зданий, сооружений, а также исправность строительных конструкций, систем инженерно-технического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 и в соответствии с исполнительной документацией.</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силу положений части 2 статьи 2 Федерального закона от 30.12.2009 №384-ФЗ «Технический регламент о безопасности зданий и сооружений» (далее - Закон №384-ФЗ) для целей указанного закона используются, в том числе следующие понятия:</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здание - результат строительства, представляющий собой объемную строительную систему, имеющую надземную и (или) подземную части, включающую в себя помещения, сети инженерно-технического обеспечения и системы инженерно-технического обеспечения и предназначенную для проживания и (или) деятельности людей, размещения производства, хранения продукции или содержания животных (пункт 6);</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сеть инженерно-технического обеспечения - сеть электро-, газо-, тепло-, водоснабжения и водоотведения, сеть связи и другие сооружения, предназначенные для инженерно-технического обеспечения здания и (или) сооружения, а также совокупность таких сетей (пункт 20);</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система инженерно-технического обеспечения -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 газоснабжения, электроснабжения, связи, информатизации, диспетчеризации, мусороудаления, вертикального транспорта (лифты, эскалаторы) или функций обеспечения безопасности (пункт 21).</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части 6 статьи 6 Закона №384-ФЗ настоящий закон устанавливает минимально необходимые требования к зданиям и сооружениям (в том числе к входящим в их состав сетям инженерно-технического обеспечения и системам инженерно</w:t>
        <w:softHyphen/>
        <w:t>технического обеспечения), в том числе требования к пожарной безопасности.</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Комиссией Карельского УФАС России установлено, что согласно техническому заданию, исполнителю контрактов надлежит выполнить работы по техническому обслуживанию и ремонту автоматических систем (элементов автоматических систем) передачи извещений о пожаре, включая диспетчеризацию и проведение пусконаладочных работ.</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Из технического задания следует, что исполнитель контрактов обязан в течение 3 рабочих дней с момента их заключения организовать и провести первичное обследование установок ППКОП «Приток 011-08-1-11М3» с целью определения их работоспособного состояния с составлением акта первичного обследования.</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пункту 4 технического задания в обязанности исполнителя контрактов входят:</w:t>
      </w:r>
    </w:p>
    <w:p>
      <w:pPr>
        <w:pStyle w:val="Style8"/>
        <w:keepNext w:val="0"/>
        <w:keepLines w:val="0"/>
        <w:widowControl w:val="0"/>
        <w:numPr>
          <w:ilvl w:val="0"/>
          <w:numId w:val="3"/>
        </w:numPr>
        <w:shd w:val="clear" w:color="auto" w:fill="auto"/>
        <w:tabs>
          <w:tab w:pos="80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 круглосуточном режиме обеспечивать передачу сигнала о пожаре с объектового оборудования на центральный пункт пожарной связи ГКУ РК «Отряд пожарной службы по Пудожскому району»;</w:t>
      </w:r>
    </w:p>
    <w:p>
      <w:pPr>
        <w:pStyle w:val="Style8"/>
        <w:keepNext w:val="0"/>
        <w:keepLines w:val="0"/>
        <w:widowControl w:val="0"/>
        <w:numPr>
          <w:ilvl w:val="0"/>
          <w:numId w:val="3"/>
        </w:numPr>
        <w:shd w:val="clear" w:color="auto" w:fill="auto"/>
        <w:tabs>
          <w:tab w:pos="80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обеспечить поддержание обслуживаемого оборудования в исправном состоянии, готовым к трансляции сигналов круглосуточно. При обнаружении неисправностей оборудования обеспечить их устранение в минимально короткие сроки, вплоть до замены оборудования;</w:t>
      </w:r>
    </w:p>
    <w:p>
      <w:pPr>
        <w:pStyle w:val="Style8"/>
        <w:keepNext w:val="0"/>
        <w:keepLines w:val="0"/>
        <w:widowControl w:val="0"/>
        <w:numPr>
          <w:ilvl w:val="0"/>
          <w:numId w:val="3"/>
        </w:numPr>
        <w:shd w:val="clear" w:color="auto" w:fill="auto"/>
        <w:tabs>
          <w:tab w:pos="80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 круглосуточном режиме принимать в Центр технического мониторинга (ЦТМ) Исполнителя сигналы с ППКОП «Приток 011-08-1-11М3» о срабатывании систем пожарной сигнализации объекта;</w:t>
      </w:r>
    </w:p>
    <w:p>
      <w:pPr>
        <w:pStyle w:val="Style8"/>
        <w:keepNext w:val="0"/>
        <w:keepLines w:val="0"/>
        <w:widowControl w:val="0"/>
        <w:numPr>
          <w:ilvl w:val="0"/>
          <w:numId w:val="3"/>
        </w:numPr>
        <w:shd w:val="clear" w:color="auto" w:fill="auto"/>
        <w:tabs>
          <w:tab w:pos="140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доводить информацию о поступившем сигнале до представителя Заказчика.</w:t>
      </w:r>
    </w:p>
    <w:p>
      <w:pPr>
        <w:pStyle w:val="Style8"/>
        <w:keepNext w:val="0"/>
        <w:keepLines w:val="0"/>
        <w:widowControl w:val="0"/>
        <w:numPr>
          <w:ilvl w:val="0"/>
          <w:numId w:val="3"/>
        </w:numPr>
        <w:shd w:val="clear" w:color="auto" w:fill="auto"/>
        <w:tabs>
          <w:tab w:pos="80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обязательное проведение регламентных работ по техническому обслуживанию объектового оборудования Заказчика с контролем прохождения сигналов на центральный пункт </w:t>
      </w:r>
      <w:r>
        <w:rPr>
          <w:color w:val="000000"/>
          <w:spacing w:val="0"/>
          <w:w w:val="100"/>
          <w:position w:val="0"/>
          <w:shd w:val="clear" w:color="auto" w:fill="auto"/>
          <w:lang w:val="ru-RU" w:eastAsia="ru-RU" w:bidi="ru-RU"/>
        </w:rPr>
        <w:t>пожарной связи ГКУ РК «Отряд пожарной службы по Пудожскому району» в ручном режиме и в автоматическом режиме;</w:t>
      </w:r>
    </w:p>
    <w:p>
      <w:pPr>
        <w:pStyle w:val="Style8"/>
        <w:keepNext w:val="0"/>
        <w:keepLines w:val="0"/>
        <w:widowControl w:val="0"/>
        <w:numPr>
          <w:ilvl w:val="0"/>
          <w:numId w:val="3"/>
        </w:numPr>
        <w:shd w:val="clear" w:color="auto" w:fill="auto"/>
        <w:tabs>
          <w:tab w:pos="81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исполнитель должен прибыть на обслуживаемый объект по вызову Заказчика в течение 3</w:t>
        <w:softHyphen/>
        <w:t>х часов с момента вызова и устранить неисправности;</w:t>
      </w:r>
    </w:p>
    <w:p>
      <w:pPr>
        <w:pStyle w:val="Style8"/>
        <w:keepNext w:val="0"/>
        <w:keepLines w:val="0"/>
        <w:widowControl w:val="0"/>
        <w:numPr>
          <w:ilvl w:val="0"/>
          <w:numId w:val="3"/>
        </w:numPr>
        <w:shd w:val="clear" w:color="auto" w:fill="auto"/>
        <w:tabs>
          <w:tab w:pos="81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проводить консультирование, обучение и оказывать техническую помощь сотрудникам охраны Заказчика по вопросам работоспособности систем;</w:t>
      </w:r>
    </w:p>
    <w:p>
      <w:pPr>
        <w:pStyle w:val="Style8"/>
        <w:keepNext w:val="0"/>
        <w:keepLines w:val="0"/>
        <w:widowControl w:val="0"/>
        <w:numPr>
          <w:ilvl w:val="0"/>
          <w:numId w:val="3"/>
        </w:numPr>
        <w:shd w:val="clear" w:color="auto" w:fill="auto"/>
        <w:tabs>
          <w:tab w:pos="138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составить и предоставить инструкции по вопросам эксплуатации систем;</w:t>
      </w:r>
    </w:p>
    <w:p>
      <w:pPr>
        <w:pStyle w:val="Style8"/>
        <w:keepNext w:val="0"/>
        <w:keepLines w:val="0"/>
        <w:widowControl w:val="0"/>
        <w:numPr>
          <w:ilvl w:val="0"/>
          <w:numId w:val="3"/>
        </w:numPr>
        <w:shd w:val="clear" w:color="auto" w:fill="auto"/>
        <w:tabs>
          <w:tab w:pos="81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все проведенные работы по ТО, в том числе по контролю качества, должны фиксироваться в «Журнале технического обслуживания».</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предметом заключаемых по результатам закупки контрактов будет являться поддержание в надлежащем техническом состоянии оборудования ППКОП «Приток 011-08-1-11М3» (в том числе путем проведения регламентных работ по техническому обслуживанию), предназначенного для передачи сигнала о пожаре с объектов Заказчиков на центральный пункт пожарной связи, его ремонт в случае выхода их строя, а также прием с него сигнала о срабатывании систем пожарной сигнализации с целью передачи пожарной службе.</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Поскольку предметом закупки является техническое обслуживание конкретного оборудования, не являющегося в целом системой инженерно-технического обеспечения здания, а также прием с него сигналов и их передачу третьим лицам, установленное при проведении закупки требование о наличии у участников закупки опыта выполнения работ в соответствии с пунктом 14 Приложения к Постановлению №2571 является избыточным, в связи с чем довод жалобы Заявителя Комиссия Карельского УФАС России признает обоснованным.</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Кроме того, следует отметить, что согласно правомерным требованиям извещения участник закупки должен обладать лицензией в сфере осуществления деятельности по монтажу, техническому обслуживанию и ремонту средств обеспечения пожарной безопасности зданий и сооружений, что, в данном конкретном случае, определяет его специальную правосубъектность и само по себе свидетельствует о наличии у него не только права, но и опыта выполнения работ в указанной сфере.</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в действиях МКУ «Расчетный центр» Пудожского района Республики Карелия содержится нарушение части 2 статьи 8, части 6 статьи 31 Закона о контрактной системе.</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Относительно довода жалобы Заявителя о ненаправлении в его адрес запроса коммерческих предложений, Комиссия Карельского УФАС России полагает необходимым отметить, что при формировании начальной (максимальной) цены контракта Заказчик/Уполномоченное учреждение самостоятельно определяют перечень хозяйствующих субъектов для направления запроса о предоставлении коммерческих предложений. Сам по себе факт ненаправления Заявителю запроса не свидетельствует о нарушении порядка определения начальной максимальной цены контракта. Кроме того, антимонопольные органы не наделены полномочиями контроля за соблюдением Закона о контрактной системе в указанной части.</w:t>
      </w:r>
    </w:p>
    <w:p>
      <w:pPr>
        <w:pStyle w:val="Style8"/>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На основании вышеизложенного и руководствуясь статьей 106 Закона о контрактной системе, Комиссия Карельского УФАС России по контролю в сфере закупок для государственных и муниципальных нужд</w:t>
      </w:r>
    </w:p>
    <w:p>
      <w:pPr>
        <w:pStyle w:val="Style8"/>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8"/>
        <w:keepNext w:val="0"/>
        <w:keepLines w:val="0"/>
        <w:widowControl w:val="0"/>
        <w:numPr>
          <w:ilvl w:val="0"/>
          <w:numId w:val="5"/>
        </w:numPr>
        <w:shd w:val="clear" w:color="auto" w:fill="auto"/>
        <w:tabs>
          <w:tab w:pos="89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жалобу ООО «СИРИУС-А» на действия уполномоченного учреждения - МКУ «Расчетный центр» Пудожского района Республики Карелия при проведении</w:t>
        <w:br w:type="page"/>
      </w:r>
      <w:r>
        <w:rPr>
          <w:color w:val="000000"/>
          <w:spacing w:val="0"/>
          <w:w w:val="100"/>
          <w:position w:val="0"/>
          <w:shd w:val="clear" w:color="auto" w:fill="auto"/>
          <w:lang w:val="ru-RU" w:eastAsia="ru-RU" w:bidi="ru-RU"/>
        </w:rPr>
        <w:t>аукциона в электронной форме на оказание услуг систем обеспечения безопасности (извещение №0806300005824000002) обоснованной.</w:t>
      </w:r>
    </w:p>
    <w:p>
      <w:pPr>
        <w:pStyle w:val="Style8"/>
        <w:keepNext w:val="0"/>
        <w:keepLines w:val="0"/>
        <w:widowControl w:val="0"/>
        <w:numPr>
          <w:ilvl w:val="0"/>
          <w:numId w:val="5"/>
        </w:numPr>
        <w:shd w:val="clear" w:color="auto" w:fill="auto"/>
        <w:tabs>
          <w:tab w:pos="89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 действиях МКУ «Расчетный центр» Пудожского района Республики Карелия установлено нарушение части 2 статьи 8, части 6 статьи 31 Закона о контрактной системе.</w:t>
      </w:r>
    </w:p>
    <w:p>
      <w:pPr>
        <w:pStyle w:val="Style8"/>
        <w:keepNext w:val="0"/>
        <w:keepLines w:val="0"/>
        <w:widowControl w:val="0"/>
        <w:numPr>
          <w:ilvl w:val="0"/>
          <w:numId w:val="5"/>
        </w:numPr>
        <w:shd w:val="clear" w:color="auto" w:fill="auto"/>
        <w:tabs>
          <w:tab w:pos="89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Передать материалы жалобы должностному лицу Карельского УФАС России для принятия решения о возбуждении дела об административном правонарушении.</w:t>
      </w:r>
    </w:p>
    <w:p>
      <w:pPr>
        <w:pStyle w:val="Style8"/>
        <w:keepNext w:val="0"/>
        <w:keepLines w:val="0"/>
        <w:widowControl w:val="0"/>
        <w:numPr>
          <w:ilvl w:val="0"/>
          <w:numId w:val="5"/>
        </w:numPr>
        <w:shd w:val="clear" w:color="auto" w:fill="auto"/>
        <w:tabs>
          <w:tab w:pos="89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МКУ «Расчетный центр» Пудожского района Республики Карелия обеспечить явку законного представителя или должностного лица, ответственного в силу должностных обязанностей за допущенное нарушение Закона о контрактной системе при проведении указанной в решении закупки, </w:t>
      </w:r>
      <w:r>
        <w:rPr>
          <w:b/>
          <w:bCs/>
          <w:color w:val="000000"/>
          <w:spacing w:val="0"/>
          <w:w w:val="100"/>
          <w:position w:val="0"/>
          <w:shd w:val="clear" w:color="auto" w:fill="auto"/>
          <w:lang w:val="ru-RU" w:eastAsia="ru-RU" w:bidi="ru-RU"/>
        </w:rPr>
        <w:t xml:space="preserve">14.11.2024 в 15 час. 30 мин. </w:t>
      </w:r>
      <w:r>
        <w:rPr>
          <w:color w:val="000000"/>
          <w:spacing w:val="0"/>
          <w:w w:val="100"/>
          <w:position w:val="0"/>
          <w:shd w:val="clear" w:color="auto" w:fill="auto"/>
          <w:lang w:val="ru-RU" w:eastAsia="ru-RU" w:bidi="ru-RU"/>
        </w:rPr>
        <w:t>для составления и подписания протокола об административном правонарушении, ответственность за которое установлена в части 1 статьи 7.30 Кодекса Российской Федерации об административных правонарушениях. Должностному лицу при себе иметь паспорт, копии приказа о назначении на должность, должностной инструкции или иного документа, в силу которое должностное лицо исполняет обязанности по проведению закупок.</w:t>
      </w:r>
    </w:p>
    <w:p>
      <w:pPr>
        <w:pStyle w:val="Style8"/>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В случае невозможности явки для составления протокола об административном правонарушении должностное лицо вправе направить представителя с надлежащим образом оформленной доверенностью, либо заявить ходатайство о составлении протокола без его участия с приложением сведений о дате и месте рождения, паспортных данных, адресе места жительства, копий приказа о назначении на должность и должностной инструкции.</w:t>
      </w:r>
    </w:p>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Настоящее решение может быть обжаловано в Арбитражном суде Республики Карелия</w:t>
      </w:r>
    </w:p>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в течение 3-х месяцев с момента его принятия</w:t>
      </w:r>
    </w:p>
    <w:p>
      <w:pPr>
        <w:widowControl w:val="0"/>
        <w:spacing w:line="1" w:lineRule="exact"/>
        <w:sectPr>
          <w:footnotePr>
            <w:pos w:val="pageBottom"/>
            <w:numFmt w:val="decimal"/>
            <w:numRestart w:val="continuous"/>
          </w:footnotePr>
          <w:type w:val="continuous"/>
          <w:pgSz w:w="11900" w:h="16840"/>
          <w:pgMar w:top="1040" w:right="539" w:bottom="1180" w:left="1099" w:header="0" w:footer="3" w:gutter="0"/>
          <w:cols w:space="720"/>
          <w:noEndnote/>
          <w:rtlGutter w:val="0"/>
          <w:docGrid w:linePitch="360"/>
        </w:sectPr>
      </w:pPr>
      <w:r>
        <mc:AlternateContent>
          <mc:Choice Requires="wps">
            <w:drawing>
              <wp:anchor distT="228600" distB="0" distL="0" distR="0" simplePos="0" relativeHeight="125829380" behindDoc="0" locked="0" layoutInCell="1" allowOverlap="1">
                <wp:simplePos x="0" y="0"/>
                <wp:positionH relativeFrom="page">
                  <wp:posOffset>703580</wp:posOffset>
                </wp:positionH>
                <wp:positionV relativeFrom="paragraph">
                  <wp:posOffset>228600</wp:posOffset>
                </wp:positionV>
                <wp:extent cx="2614930" cy="612775"/>
                <wp:wrapTopAndBottom/>
                <wp:docPr id="7" name="Shape 7"/>
                <a:graphic xmlns:a="http://schemas.openxmlformats.org/drawingml/2006/main">
                  <a:graphicData uri="http://schemas.microsoft.com/office/word/2010/wordprocessingShape">
                    <wps:wsp>
                      <wps:cNvSpPr txBox="1"/>
                      <wps:spPr>
                        <a:xfrm>
                          <a:ext cx="2614930" cy="612775"/>
                        </a:xfrm>
                        <a:prstGeom prst="rect"/>
                        <a:noFill/>
                      </wps:spPr>
                      <wps:txbx>
                        <w:txbxContent>
                          <w:p>
                            <w:pPr>
                              <w:pStyle w:val="Style8"/>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Заместитель председателя Комиссии</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3" type="#_x0000_t202" style="position:absolute;margin-left:55.399999999999999pt;margin-top:18.pt;width:205.90000000000001pt;height:48.25pt;z-index:-125829373;mso-wrap-distance-left:0;mso-wrap-distance-top:18.pt;mso-wrap-distance-right:0;mso-position-horizontal-relative:page" filled="f" stroked="f">
                <v:textbox inset="0,0,0,0">
                  <w:txbxContent>
                    <w:p>
                      <w:pPr>
                        <w:pStyle w:val="Style8"/>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Заместитель председателя Комиссии</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mc:AlternateContent>
          <mc:Choice Requires="wps">
            <w:drawing>
              <wp:anchor distT="228600" distB="0" distL="0" distR="0" simplePos="0" relativeHeight="125829382" behindDoc="0" locked="0" layoutInCell="1" allowOverlap="1">
                <wp:simplePos x="0" y="0"/>
                <wp:positionH relativeFrom="page">
                  <wp:posOffset>4714875</wp:posOffset>
                </wp:positionH>
                <wp:positionV relativeFrom="paragraph">
                  <wp:posOffset>228600</wp:posOffset>
                </wp:positionV>
                <wp:extent cx="2307590" cy="612775"/>
                <wp:wrapTopAndBottom/>
                <wp:docPr id="9" name="Shape 9"/>
                <a:graphic xmlns:a="http://schemas.openxmlformats.org/drawingml/2006/main">
                  <a:graphicData uri="http://schemas.microsoft.com/office/word/2010/wordprocessingShape">
                    <wps:wsp>
                      <wps:cNvSpPr txBox="1"/>
                      <wps:spPr>
                        <a:xfrm>
                          <a:ext cx="2307590" cy="612775"/>
                        </a:xfrm>
                        <a:prstGeom prst="rect"/>
                        <a:noFill/>
                      </wps:spPr>
                      <wps:txbx>
                        <w:txbxContent>
                          <w:p>
                            <w:pPr>
                              <w:pStyle w:val="Style8"/>
                              <w:keepNext w:val="0"/>
                              <w:keepLines w:val="0"/>
                              <w:widowControl w:val="0"/>
                              <w:shd w:val="clear" w:color="auto" w:fill="auto"/>
                              <w:tabs>
                                <w:tab w:leader="underscore" w:pos="1435" w:val="left"/>
                                <w:tab w:pos="1819" w:val="left"/>
                              </w:tabs>
                              <w:bidi w:val="0"/>
                              <w:spacing w:before="0" w:after="260" w:line="240" w:lineRule="auto"/>
                              <w:ind w:left="0" w:right="0" w:firstLine="0"/>
                              <w:jc w:val="right"/>
                            </w:pPr>
                            <w:r>
                              <w:rPr>
                                <w:color w:val="000000"/>
                                <w:spacing w:val="0"/>
                                <w:w w:val="100"/>
                                <w:position w:val="0"/>
                                <w:shd w:val="clear" w:color="auto" w:fill="auto"/>
                                <w:lang w:val="ru-RU" w:eastAsia="ru-RU" w:bidi="ru-RU"/>
                              </w:rPr>
                              <w:tab/>
                              <w:tab/>
                              <w:t>Г.А. Грущакова</w:t>
                            </w:r>
                          </w:p>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О.В. Ковалева</w:t>
                            </w:r>
                          </w:p>
                        </w:txbxContent>
                      </wps:txbx>
                      <wps:bodyPr lIns="0" tIns="0" rIns="0" bIns="0">
                        <a:noAutoFit/>
                      </wps:bodyPr>
                    </wps:wsp>
                  </a:graphicData>
                </a:graphic>
              </wp:anchor>
            </w:drawing>
          </mc:Choice>
          <mc:Fallback>
            <w:pict>
              <v:shape id="_x0000_s1035" type="#_x0000_t202" style="position:absolute;margin-left:371.25pt;margin-top:18.pt;width:181.70000000000002pt;height:48.25pt;z-index:-125829371;mso-wrap-distance-left:0;mso-wrap-distance-top:18.pt;mso-wrap-distance-right:0;mso-position-horizontal-relative:page" filled="f" stroked="f">
                <v:textbox inset="0,0,0,0">
                  <w:txbxContent>
                    <w:p>
                      <w:pPr>
                        <w:pStyle w:val="Style8"/>
                        <w:keepNext w:val="0"/>
                        <w:keepLines w:val="0"/>
                        <w:widowControl w:val="0"/>
                        <w:shd w:val="clear" w:color="auto" w:fill="auto"/>
                        <w:tabs>
                          <w:tab w:leader="underscore" w:pos="1435" w:val="left"/>
                          <w:tab w:pos="1819" w:val="left"/>
                        </w:tabs>
                        <w:bidi w:val="0"/>
                        <w:spacing w:before="0" w:after="260" w:line="240" w:lineRule="auto"/>
                        <w:ind w:left="0" w:right="0" w:firstLine="0"/>
                        <w:jc w:val="right"/>
                      </w:pPr>
                      <w:r>
                        <w:rPr>
                          <w:color w:val="000000"/>
                          <w:spacing w:val="0"/>
                          <w:w w:val="100"/>
                          <w:position w:val="0"/>
                          <w:shd w:val="clear" w:color="auto" w:fill="auto"/>
                          <w:lang w:val="ru-RU" w:eastAsia="ru-RU" w:bidi="ru-RU"/>
                        </w:rPr>
                        <w:tab/>
                        <w:tab/>
                        <w:t>Г.А. Грущакова</w:t>
                      </w:r>
                    </w:p>
                    <w:p>
                      <w:pPr>
                        <w:pStyle w:val="Style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О.В. Ковалева</w:t>
                      </w:r>
                    </w:p>
                  </w:txbxContent>
                </v:textbox>
                <w10:wrap type="topAndBottom" anchorx="page"/>
              </v:shape>
            </w:pict>
          </mc:Fallback>
        </mc:AlternateContent>
      </w:r>
    </w:p>
    <w:p>
      <w:pPr>
        <w:widowControl w:val="0"/>
        <w:spacing w:line="111" w:lineRule="exact"/>
        <w:rPr>
          <w:sz w:val="9"/>
          <w:szCs w:val="9"/>
        </w:rPr>
      </w:pPr>
    </w:p>
    <w:p>
      <w:pPr>
        <w:widowControl w:val="0"/>
        <w:spacing w:line="1" w:lineRule="exact"/>
        <w:sectPr>
          <w:footnotePr>
            <w:pos w:val="pageBottom"/>
            <w:numFmt w:val="decimal"/>
            <w:numRestart w:val="continuous"/>
          </w:footnotePr>
          <w:type w:val="continuous"/>
          <w:pgSz w:w="11900" w:h="16840"/>
          <w:pgMar w:top="1110" w:right="0" w:bottom="1110" w:left="0" w:header="0" w:footer="3" w:gutter="0"/>
          <w:cols w:space="720"/>
          <w:noEndnote/>
          <w:rtlGutter w:val="0"/>
          <w:docGrid w:linePitch="360"/>
        </w:sectPr>
      </w:pPr>
    </w:p>
    <w:p>
      <w:pPr>
        <w:pStyle w:val="Style8"/>
        <w:keepNext w:val="0"/>
        <w:keepLines w:val="0"/>
        <w:widowControl w:val="0"/>
        <w:shd w:val="clear" w:color="auto" w:fill="auto"/>
        <w:tabs>
          <w:tab w:leader="underscore" w:pos="1435" w:val="left"/>
          <w:tab w:pos="1891" w:val="left"/>
        </w:tabs>
        <w:bidi w:val="0"/>
        <w:spacing w:before="0" w:after="0" w:line="240" w:lineRule="auto"/>
        <w:ind w:left="0" w:right="300" w:firstLine="0"/>
        <w:jc w:val="right"/>
      </w:pPr>
      <w:r>
        <w:rPr>
          <w:color w:val="000000"/>
          <w:spacing w:val="0"/>
          <w:w w:val="100"/>
          <w:position w:val="0"/>
          <w:shd w:val="clear" w:color="auto" w:fill="auto"/>
          <w:lang w:val="ru-RU" w:eastAsia="ru-RU" w:bidi="ru-RU"/>
        </w:rPr>
        <w:tab/>
        <w:tab/>
        <w:t>О.В. Лайдинен</w:t>
      </w:r>
    </w:p>
    <w:sectPr>
      <w:footnotePr>
        <w:pos w:val="pageBottom"/>
        <w:numFmt w:val="decimal"/>
        <w:numRestart w:val="continuous"/>
      </w:footnotePr>
      <w:type w:val="continuous"/>
      <w:pgSz w:w="11900" w:h="16840"/>
      <w:pgMar w:top="1110" w:right="545"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10007600</wp:posOffset>
              </wp:positionV>
              <wp:extent cx="636905" cy="100330"/>
              <wp:wrapNone/>
              <wp:docPr id="1" name="Shape 1"/>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2024-3781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8.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2024-3781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36905" cy="100330"/>
              <wp:wrapNone/>
              <wp:docPr id="3" name="Shape 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2024-3781</w:t>
                          </w:r>
                        </w:p>
                      </w:txbxContent>
                    </wps:txbx>
                    <wps:bodyPr wrap="none" lIns="0" tIns="0" rIns="0" bIns="0">
                      <a:spAutoFit/>
                    </wps:bodyPr>
                  </wps:wsp>
                </a:graphicData>
              </a:graphic>
            </wp:anchor>
          </w:drawing>
        </mc:Choice>
        <mc:Fallback>
          <w:pict>
            <v:shape id="_x0000_s1029" type="#_x0000_t202" style="position:absolute;margin-left:57.pt;margin-top:776.2000000000000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2024-3781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6"/>
      <w:szCs w:val="26"/>
      <w:u w:val="none"/>
    </w:rPr>
  </w:style>
  <w:style w:type="character" w:customStyle="1" w:styleId="CharStyle12">
    <w:name w:val="Основной текст (3)_"/>
    <w:basedOn w:val="DefaultParagraphFont"/>
    <w:link w:val="Style11"/>
    <w:rPr>
      <w:rFonts w:ascii="Times New Roman" w:eastAsia="Times New Roman" w:hAnsi="Times New Roman" w:cs="Times New Roman"/>
      <w:b w:val="0"/>
      <w:bCs w:val="0"/>
      <w:i/>
      <w:iCs/>
      <w:smallCaps w:val="0"/>
      <w:strike w:val="0"/>
      <w:sz w:val="20"/>
      <w:szCs w:val="20"/>
      <w:u w:val="none"/>
    </w:rPr>
  </w:style>
  <w:style w:type="character" w:customStyle="1" w:styleId="CharStyle16">
    <w:name w:val="Основной текст (4)_"/>
    <w:basedOn w:val="DefaultParagraphFont"/>
    <w:link w:val="Style15"/>
    <w:rPr>
      <w:rFonts w:ascii="Arial" w:eastAsia="Arial" w:hAnsi="Arial" w:cs="Arial"/>
      <w:b/>
      <w:bCs/>
      <w:i w:val="0"/>
      <w:iCs w:val="0"/>
      <w:smallCaps w:val="0"/>
      <w:strike w:val="0"/>
      <w:sz w:val="36"/>
      <w:szCs w:val="36"/>
      <w:u w:val="none"/>
    </w:rPr>
  </w:style>
  <w:style w:type="paragraph" w:customStyle="1" w:styleId="Style2">
    <w:name w:val="Основной текст (2)"/>
    <w:basedOn w:val="Normal"/>
    <w:link w:val="CharStyle3"/>
    <w:pPr>
      <w:widowControl w:val="0"/>
      <w:shd w:val="clear" w:color="auto" w:fill="auto"/>
      <w:spacing w:line="266"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1">
    <w:name w:val="Основной текст (3)"/>
    <w:basedOn w:val="Normal"/>
    <w:link w:val="CharStyle12"/>
    <w:pPr>
      <w:widowControl w:val="0"/>
      <w:shd w:val="clear" w:color="auto" w:fill="auto"/>
      <w:jc w:val="center"/>
    </w:pPr>
    <w:rPr>
      <w:rFonts w:ascii="Times New Roman" w:eastAsia="Times New Roman" w:hAnsi="Times New Roman" w:cs="Times New Roman"/>
      <w:b w:val="0"/>
      <w:bCs w:val="0"/>
      <w:i/>
      <w:iCs/>
      <w:smallCaps w:val="0"/>
      <w:strike w:val="0"/>
      <w:sz w:val="20"/>
      <w:szCs w:val="20"/>
      <w:u w:val="none"/>
    </w:rPr>
  </w:style>
  <w:style w:type="paragraph" w:customStyle="1" w:styleId="Style15">
    <w:name w:val="Основной текст (4)"/>
    <w:basedOn w:val="Normal"/>
    <w:link w:val="CharStyle16"/>
    <w:pPr>
      <w:widowControl w:val="0"/>
      <w:shd w:val="clear" w:color="auto" w:fill="auto"/>
      <w:spacing w:after="260"/>
    </w:pPr>
    <w:rPr>
      <w:rFonts w:ascii="Arial" w:eastAsia="Arial" w:hAnsi="Arial" w:cs="Arial"/>
      <w:b/>
      <w:bCs/>
      <w:i w:val="0"/>
      <w:iCs w:val="0"/>
      <w:smallCaps w:val="0"/>
      <w:strike w:val="0"/>
      <w:sz w:val="36"/>
      <w:szCs w:val="3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