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83"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83"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680000, г. Хабаровск, ул. Запарина, 67</w:t>
        <w:br/>
        <w:t xml:space="preserve">тел. </w:t>
      </w:r>
      <w:r>
        <w:rPr>
          <w:b w:val="0"/>
          <w:bCs w:val="0"/>
          <w:color w:val="737A8A"/>
          <w:spacing w:val="0"/>
          <w:w w:val="100"/>
          <w:position w:val="0"/>
          <w:sz w:val="16"/>
          <w:szCs w:val="16"/>
          <w:shd w:val="clear" w:color="auto" w:fill="auto"/>
          <w:lang w:val="ru-RU" w:eastAsia="ru-RU" w:bidi="ru-RU"/>
        </w:rPr>
        <w:t xml:space="preserve">/ </w:t>
      </w:r>
      <w:r>
        <w:rPr>
          <w:b w:val="0"/>
          <w:bCs w:val="0"/>
          <w:spacing w:val="0"/>
          <w:w w:val="100"/>
          <w:position w:val="0"/>
          <w:sz w:val="16"/>
          <w:szCs w:val="16"/>
          <w:shd w:val="clear" w:color="auto" w:fill="auto"/>
          <w:lang w:val="ru-RU" w:eastAsia="ru-RU" w:bidi="ru-RU"/>
        </w:rPr>
        <w:t>факс (4212) 32-40-57</w:t>
      </w:r>
    </w:p>
    <w:p>
      <w:pPr>
        <w:pStyle w:val="Style2"/>
        <w:keepNext w:val="0"/>
        <w:keepLines w:val="0"/>
        <w:widowControl w:val="0"/>
        <w:shd w:val="clear" w:color="auto" w:fill="auto"/>
        <w:bidi w:val="0"/>
        <w:spacing w:before="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е-таП: 1о27@Га8.§оу.гп</w:t>
      </w:r>
    </w:p>
    <w:p>
      <w:pPr>
        <w:pStyle w:val="Style9"/>
        <w:keepNext w:val="0"/>
        <w:keepLines w:val="0"/>
        <w:widowControl w:val="0"/>
        <w:shd w:val="clear" w:color="auto" w:fill="auto"/>
        <w:tabs>
          <w:tab w:pos="1843" w:val="left"/>
        </w:tabs>
        <w:bidi w:val="0"/>
        <w:spacing w:before="0" w:after="32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АМ/12103/</w:t>
      </w:r>
      <w:r>
        <w:rPr>
          <w:color w:val="000000"/>
          <w:spacing w:val="0"/>
          <w:w w:val="100"/>
          <w:position w:val="0"/>
          <w:sz w:val="30"/>
          <w:szCs w:val="30"/>
          <w:shd w:val="clear" w:color="auto" w:fill="auto"/>
          <w:lang w:val="ru-RU" w:eastAsia="ru-RU" w:bidi="ru-RU"/>
        </w:rPr>
        <w:t>24</w:t>
      </w:r>
    </w:p>
    <w:p>
      <w:pPr>
        <w:pStyle w:val="Style2"/>
        <w:keepNext w:val="0"/>
        <w:keepLines w:val="0"/>
        <w:widowControl w:val="0"/>
        <w:shd w:val="clear" w:color="auto" w:fill="auto"/>
        <w:bidi w:val="0"/>
        <w:spacing w:before="0" w:after="62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 направлении решения</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«ЧОП «Беркутъ»</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680051, г. Хабаровск, ул. Ворошилова, д.39</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^а1оп1н11П@таП.П1</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Комитет государственного заказа</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Правительства Хабаровского края</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680000, г Хабаровск, ул. Фрунзе,</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 71, каб. 512</w:t>
      </w:r>
    </w:p>
    <w:p>
      <w:pPr>
        <w:pStyle w:val="Style9"/>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374" w:right="863" w:bottom="1313" w:left="1140" w:header="0" w:footer="3" w:gutter="0"/>
          <w:pgNumType w:start="1"/>
          <w:cols w:num="2" w:space="634"/>
          <w:noEndnote/>
          <w:titlePg/>
          <w:rtlGutter w:val="0"/>
          <w:docGrid w:linePitch="360"/>
        </w:sectPr>
      </w:pPr>
      <w:r>
        <w:rPr>
          <w:color w:val="000000"/>
          <w:spacing w:val="0"/>
          <w:w w:val="100"/>
          <w:position w:val="0"/>
          <w:shd w:val="clear" w:color="auto" w:fill="auto"/>
          <w:lang w:val="ru-RU" w:eastAsia="ru-RU" w:bidi="ru-RU"/>
        </w:rPr>
        <w:t>д/@1&lt;11\\до\'.П1</w:t>
      </w:r>
    </w:p>
    <w:p>
      <w:pPr>
        <w:widowControl w:val="0"/>
        <w:spacing w:line="72" w:lineRule="exact"/>
        <w:rPr>
          <w:sz w:val="6"/>
          <w:szCs w:val="6"/>
        </w:rPr>
      </w:pPr>
    </w:p>
    <w:p>
      <w:pPr>
        <w:widowControl w:val="0"/>
        <w:spacing w:line="1" w:lineRule="exact"/>
        <w:sectPr>
          <w:footnotePr>
            <w:pos w:val="pageBottom"/>
            <w:numFmt w:val="decimal"/>
            <w:numRestart w:val="continuous"/>
          </w:footnotePr>
          <w:type w:val="continuous"/>
          <w:pgSz w:w="11900" w:h="16840"/>
          <w:pgMar w:top="1087" w:right="0" w:bottom="1311" w:left="0" w:header="0" w:footer="3" w:gutter="0"/>
          <w:cols w:space="720"/>
          <w:noEndnote/>
          <w:rtlGutter w:val="0"/>
          <w:docGrid w:linePitch="360"/>
        </w:sectPr>
      </w:pPr>
    </w:p>
    <w:p>
      <w:pPr>
        <w:pStyle w:val="Style9"/>
        <w:keepNext w:val="0"/>
        <w:keepLines w:val="0"/>
        <w:widowControl w:val="0"/>
        <w:shd w:val="clear" w:color="auto" w:fill="auto"/>
        <w:bidi w:val="0"/>
        <w:spacing w:before="0" w:after="280" w:line="240" w:lineRule="auto"/>
        <w:ind w:left="5320" w:right="0" w:firstLine="0"/>
        <w:jc w:val="left"/>
      </w:pPr>
      <w:r>
        <w:rPr>
          <w:color w:val="000000"/>
          <w:spacing w:val="0"/>
          <w:w w:val="100"/>
          <w:position w:val="0"/>
          <w:shd w:val="clear" w:color="auto" w:fill="auto"/>
          <w:lang w:val="ru-RU" w:eastAsia="ru-RU" w:bidi="ru-RU"/>
        </w:rPr>
        <w:t>ЭТП Газпромбанк тГо@ефдрЪ.ги</w:t>
      </w:r>
    </w:p>
    <w:p>
      <w:pPr>
        <w:pStyle w:val="Style9"/>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ПАО«Транскапиталбанк»</w:t>
      </w:r>
    </w:p>
    <w:p>
      <w:pPr>
        <w:pStyle w:val="Style9"/>
        <w:keepNext w:val="0"/>
        <w:keepLines w:val="0"/>
        <w:widowControl w:val="0"/>
        <w:shd w:val="clear" w:color="auto" w:fill="auto"/>
        <w:bidi w:val="0"/>
        <w:spacing w:before="0" w:after="280" w:line="240" w:lineRule="auto"/>
        <w:ind w:left="5320" w:right="0" w:firstLine="0"/>
        <w:jc w:val="left"/>
      </w:pPr>
      <w:r>
        <w:rPr>
          <w:color w:val="000000"/>
          <w:spacing w:val="0"/>
          <w:w w:val="100"/>
          <w:position w:val="0"/>
          <w:shd w:val="clear" w:color="auto" w:fill="auto"/>
          <w:lang w:val="ru-RU" w:eastAsia="ru-RU" w:bidi="ru-RU"/>
        </w:rPr>
        <w:t>тГо@1;кЪЪапк.:ги</w:t>
      </w:r>
    </w:p>
    <w:p>
      <w:pPr>
        <w:pStyle w:val="Style22"/>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РЕШЕНИЕ № 7-1/247</w:t>
      </w:r>
      <w:bookmarkEnd w:id="0"/>
    </w:p>
    <w:p>
      <w:pPr>
        <w:pStyle w:val="Style9"/>
        <w:keepNext w:val="0"/>
        <w:keepLines w:val="0"/>
        <w:widowControl w:val="0"/>
        <w:shd w:val="clear" w:color="auto" w:fill="auto"/>
        <w:bidi w:val="0"/>
        <w:spacing w:before="0" w:after="40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705485</wp:posOffset>
                </wp:positionH>
                <wp:positionV relativeFrom="paragraph">
                  <wp:posOffset>12700</wp:posOffset>
                </wp:positionV>
                <wp:extent cx="826135" cy="250190"/>
                <wp:wrapSquare wrapText="right"/>
                <wp:docPr id="5" name="Shape 5"/>
                <a:graphic xmlns:a="http://schemas.openxmlformats.org/drawingml/2006/main">
                  <a:graphicData uri="http://schemas.microsoft.com/office/word/2010/wordprocessingShape">
                    <wps:wsp>
                      <wps:cNvSpPr txBox="1"/>
                      <wps:spPr>
                        <a:xfrm>
                          <a:ext cx="826135"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28.10.2024</w:t>
                            </w:r>
                          </w:p>
                        </w:txbxContent>
                      </wps:txbx>
                      <wps:bodyPr wrap="none" lIns="0" tIns="0" rIns="0" bIns="0">
                        <a:noAutoFit/>
                      </wps:bodyPr>
                    </wps:wsp>
                  </a:graphicData>
                </a:graphic>
              </wp:anchor>
            </w:drawing>
          </mc:Choice>
          <mc:Fallback>
            <w:pict>
              <v:shape id="_x0000_s1031" type="#_x0000_t202" style="position:absolute;margin-left:55.550000000000004pt;margin-top:1.pt;width:65.049999999999997pt;height:19.699999999999999pt;z-index:-12582937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28.10.2024</w:t>
                      </w:r>
                    </w:p>
                  </w:txbxContent>
                </v:textbox>
                <w10:wrap type="square" side="right" anchorx="page"/>
              </v:shape>
            </w:pict>
          </mc:Fallback>
        </mc:AlternateContent>
      </w:r>
      <w:r>
        <w:rPr>
          <w:color w:val="000000"/>
          <w:spacing w:val="0"/>
          <w:w w:val="100"/>
          <w:position w:val="0"/>
          <w:shd w:val="clear" w:color="auto" w:fill="auto"/>
          <w:lang w:val="ru-RU" w:eastAsia="ru-RU" w:bidi="ru-RU"/>
        </w:rPr>
        <w:t>г. Хабаровск</w:t>
      </w:r>
    </w:p>
    <w:p>
      <w:pPr>
        <w:pStyle w:val="Style9"/>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Хабаровскому краю по контролю в сфере закупок:</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Заместитель</w:t>
      </w:r>
    </w:p>
    <w:p>
      <w:pPr>
        <w:pStyle w:val="Style9"/>
        <w:keepNext w:val="0"/>
        <w:keepLines w:val="0"/>
        <w:widowControl w:val="0"/>
        <w:shd w:val="clear" w:color="auto" w:fill="auto"/>
        <w:tabs>
          <w:tab w:pos="3245" w:val="left"/>
          <w:tab w:pos="5938" w:val="right"/>
          <w:tab w:pos="6869" w:val="center"/>
          <w:tab w:pos="10087" w:val="right"/>
        </w:tabs>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 Комиссии:</w:t>
        <w:tab/>
        <w:t>Михайлова А.А.</w:t>
        <w:tab/>
        <w:t>-</w:t>
        <w:tab/>
        <w:t>начальник</w:t>
        <w:tab/>
        <w:t>отдела контроля</w:t>
      </w:r>
    </w:p>
    <w:p>
      <w:pPr>
        <w:pStyle w:val="Style9"/>
        <w:keepNext w:val="0"/>
        <w:keepLines w:val="0"/>
        <w:widowControl w:val="0"/>
        <w:shd w:val="clear" w:color="auto" w:fill="auto"/>
        <w:bidi w:val="0"/>
        <w:spacing w:before="0" w:after="340" w:line="240" w:lineRule="auto"/>
        <w:ind w:left="5820" w:right="0" w:firstLine="0"/>
        <w:jc w:val="left"/>
      </w:pPr>
      <w:r>
        <w:rPr>
          <w:color w:val="000000"/>
          <w:spacing w:val="0"/>
          <w:w w:val="100"/>
          <w:position w:val="0"/>
          <w:shd w:val="clear" w:color="auto" w:fill="auto"/>
          <w:lang w:val="ru-RU" w:eastAsia="ru-RU" w:bidi="ru-RU"/>
        </w:rPr>
        <w:t>закупок;</w:t>
      </w:r>
    </w:p>
    <w:p>
      <w:pPr>
        <w:pStyle w:val="Style9"/>
        <w:keepNext w:val="0"/>
        <w:keepLines w:val="0"/>
        <w:widowControl w:val="0"/>
        <w:shd w:val="clear" w:color="auto" w:fill="auto"/>
        <w:tabs>
          <w:tab w:pos="3245" w:val="left"/>
          <w:tab w:pos="5938" w:val="right"/>
          <w:tab w:pos="6869" w:val="center"/>
          <w:tab w:pos="10087" w:val="right"/>
        </w:tabs>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tab/>
        <w:t>Кушнер Ж.В.</w:t>
        <w:tab/>
        <w:t>-</w:t>
        <w:tab/>
        <w:t>главный</w:t>
        <w:tab/>
        <w:t>специалист-эксперт</w:t>
      </w:r>
    </w:p>
    <w:p>
      <w:pPr>
        <w:pStyle w:val="Style9"/>
        <w:keepNext w:val="0"/>
        <w:keepLines w:val="0"/>
        <w:widowControl w:val="0"/>
        <w:shd w:val="clear" w:color="auto" w:fill="auto"/>
        <w:bidi w:val="0"/>
        <w:spacing w:before="0" w:after="340" w:line="240" w:lineRule="auto"/>
        <w:ind w:left="5820" w:right="0" w:firstLine="0"/>
        <w:jc w:val="left"/>
      </w:pPr>
      <w:r>
        <w:rPr>
          <w:color w:val="000000"/>
          <w:spacing w:val="0"/>
          <w:w w:val="100"/>
          <w:position w:val="0"/>
          <w:shd w:val="clear" w:color="auto" w:fill="auto"/>
          <w:lang w:val="ru-RU" w:eastAsia="ru-RU" w:bidi="ru-RU"/>
        </w:rPr>
        <w:t>отдела контроля закупок;</w:t>
      </w:r>
    </w:p>
    <w:p>
      <w:pPr>
        <w:pStyle w:val="Style9"/>
        <w:keepNext w:val="0"/>
        <w:keepLines w:val="0"/>
        <w:widowControl w:val="0"/>
        <w:shd w:val="clear" w:color="auto" w:fill="auto"/>
        <w:tabs>
          <w:tab w:pos="2659" w:val="right"/>
          <w:tab w:pos="3590" w:val="center"/>
          <w:tab w:pos="6811" w:val="right"/>
        </w:tabs>
        <w:bidi w:val="0"/>
        <w:spacing w:before="0" w:after="0" w:line="240" w:lineRule="auto"/>
        <w:ind w:left="0" w:right="0" w:firstLine="0"/>
        <w:jc w:val="right"/>
      </w:pPr>
      <w:r>
        <w:rPr>
          <w:color w:val="000000"/>
          <w:spacing w:val="0"/>
          <w:w w:val="100"/>
          <w:position w:val="0"/>
          <w:shd w:val="clear" w:color="auto" w:fill="auto"/>
          <w:lang w:val="ru-RU" w:eastAsia="ru-RU" w:bidi="ru-RU"/>
        </w:rPr>
        <w:t>Пилипенко М.А.</w:t>
        <w:tab/>
        <w:t>-</w:t>
        <w:tab/>
        <w:t>главный</w:t>
        <w:tab/>
        <w:t>специалист-эксперт</w:t>
      </w:r>
    </w:p>
    <w:p>
      <w:pPr>
        <w:pStyle w:val="Style9"/>
        <w:keepNext w:val="0"/>
        <w:keepLines w:val="0"/>
        <w:widowControl w:val="0"/>
        <w:shd w:val="clear" w:color="auto" w:fill="auto"/>
        <w:bidi w:val="0"/>
        <w:spacing w:before="0" w:after="200" w:line="240" w:lineRule="auto"/>
        <w:ind w:left="5820" w:right="0" w:firstLine="0"/>
        <w:jc w:val="left"/>
      </w:pPr>
      <w:r>
        <w:rPr>
          <w:color w:val="000000"/>
          <w:spacing w:val="0"/>
          <w:w w:val="100"/>
          <w:position w:val="0"/>
          <w:shd w:val="clear" w:color="auto" w:fill="auto"/>
          <w:lang w:val="ru-RU" w:eastAsia="ru-RU" w:bidi="ru-RU"/>
        </w:rPr>
        <w:t>отдела контроля закупок,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присутствии представителей:</w:t>
      </w:r>
    </w:p>
    <w:p>
      <w:pPr>
        <w:pStyle w:val="Style9"/>
        <w:keepNext w:val="0"/>
        <w:keepLines w:val="0"/>
        <w:widowControl w:val="0"/>
        <w:numPr>
          <w:ilvl w:val="0"/>
          <w:numId w:val="1"/>
        </w:numPr>
        <w:shd w:val="clear" w:color="auto" w:fill="auto"/>
        <w:tabs>
          <w:tab w:pos="110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от общества с ограниченной ответственностью «ЧОП «Беркутъ» Чистовой В.М. по доверенности от 21.10.2024;</w:t>
      </w:r>
    </w:p>
    <w:p>
      <w:pPr>
        <w:pStyle w:val="Style9"/>
        <w:keepNext w:val="0"/>
        <w:keepLines w:val="0"/>
        <w:widowControl w:val="0"/>
        <w:numPr>
          <w:ilvl w:val="0"/>
          <w:numId w:val="1"/>
        </w:numPr>
        <w:shd w:val="clear" w:color="auto" w:fill="auto"/>
        <w:tabs>
          <w:tab w:pos="1829"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от уполномоченного органа - комитета государственного заказа</w:t>
      </w:r>
    </w:p>
    <w:p>
      <w:pPr>
        <w:widowControl w:val="0"/>
        <w:spacing w:line="1" w:lineRule="exact"/>
      </w:pPr>
      <w:r>
        <w:drawing>
          <wp:anchor distT="165100" distB="0" distL="0" distR="0" simplePos="0" relativeHeight="125829380" behindDoc="0" locked="0" layoutInCell="1" allowOverlap="1">
            <wp:simplePos x="0" y="0"/>
            <wp:positionH relativeFrom="page">
              <wp:posOffset>714375</wp:posOffset>
            </wp:positionH>
            <wp:positionV relativeFrom="paragraph">
              <wp:posOffset>165100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7650" cy="292735"/>
                    </a:xfrm>
                    <a:prstGeom prst="rect"/>
                  </pic:spPr>
                </pic:pic>
              </a:graphicData>
            </a:graphic>
          </wp:anchor>
        </w:drawing>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Правительства Хабаровского края Куделиной А.А. по доверенности от 18.09.2024 № 6,</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отсутствие представителей ПАО «Транскапиталбанк» (о дате, времени и месте рассмотрения банк уведомлен надлежащим образом),</w:t>
      </w:r>
    </w:p>
    <w:p>
      <w:pPr>
        <w:pStyle w:val="Style9"/>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рассмотрев жалобу общества с ограниченной ответственностью «ЧОП «Беркутъ» (далее также - ООО «ЧОП «Беркутъ», Общество, заявитель) и материалы дела № 027/06/105-1572/2024,</w:t>
      </w:r>
    </w:p>
    <w:p>
      <w:pPr>
        <w:pStyle w:val="Style22"/>
        <w:keepNext/>
        <w:keepLines/>
        <w:widowControl w:val="0"/>
        <w:shd w:val="clear" w:color="auto" w:fill="auto"/>
        <w:bidi w:val="0"/>
        <w:spacing w:before="0" w:line="240"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24"/>
        <w:keepNext/>
        <w:keepLines/>
        <w:widowControl w:val="0"/>
        <w:shd w:val="clear" w:color="auto" w:fill="auto"/>
        <w:bidi w:val="0"/>
        <w:spacing w:before="0" w:after="0" w:line="240" w:lineRule="auto"/>
        <w:ind w:left="0" w:right="0" w:firstLine="740"/>
        <w:jc w:val="both"/>
      </w:pPr>
      <w:bookmarkStart w:id="4" w:name="bookmark4"/>
      <w:r>
        <w:rPr>
          <w:color w:val="000000"/>
          <w:spacing w:val="0"/>
          <w:w w:val="100"/>
          <w:position w:val="0"/>
          <w:shd w:val="clear" w:color="auto" w:fill="auto"/>
          <w:lang w:val="ru-RU" w:eastAsia="ru-RU" w:bidi="ru-RU"/>
        </w:rPr>
        <w:t>В Управление Федеральной антимонопольной службы по Хабаровскому краю (далее также - Хабаровское УФАС России) поступила жалоба ООО «ЧОП «Беркутъ» на действия комиссии по осуществлению закупок уполномоченного органа - комитета государственного заказа Правительства (далее также - комиссия по осуществлению закупок) при проведении электронного аукциона на оказание охранных услуг (извещение № 0122200002524003949).</w:t>
      </w:r>
      <w:bookmarkEnd w:id="4"/>
    </w:p>
    <w:p>
      <w:pPr>
        <w:pStyle w:val="Style24"/>
        <w:keepNext/>
        <w:keepLines/>
        <w:widowControl w:val="0"/>
        <w:shd w:val="clear" w:color="auto" w:fill="auto"/>
        <w:bidi w:val="0"/>
        <w:spacing w:before="0" w:after="0" w:line="240" w:lineRule="auto"/>
        <w:ind w:left="0" w:right="0" w:firstLine="740"/>
        <w:jc w:val="both"/>
      </w:pPr>
      <w:bookmarkStart w:id="6" w:name="bookmark6"/>
      <w:r>
        <w:rPr>
          <w:color w:val="000000"/>
          <w:spacing w:val="0"/>
          <w:w w:val="100"/>
          <w:position w:val="0"/>
          <w:shd w:val="clear" w:color="auto" w:fill="auto"/>
          <w:lang w:val="ru-RU" w:eastAsia="ru-RU" w:bidi="ru-RU"/>
        </w:rPr>
        <w:t>В жалобе заявитель указывает на неправомерное отклонение комиссией по осуществлению закупок заявки заявителя по причине несоответствия независимой гарантии законодательству, а именно: в независимой гарантии, предоставленной участником закупки в качестве обеспечения заявки, отсутствует информация, предусмотренная типовой формой независимой гарантии, а именно: телефон бенефициара (указан телефон Уполномоченного органа).</w:t>
      </w:r>
      <w:bookmarkEnd w:id="6"/>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рамках поступившей жалобы, на основании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 44-ФЗ), Хабаровским УФАС России принято решение о проведении внеплановой проверки, по результатам которой установлено следующее.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Уполномоченным органом - комитетом государственного заказа Правительства Хабаровского края для заказчика - краевого государственного бюджетного учреждения здравоохранения «Городская поликлиника № 9» министерства здравоохранения Хабаровского края проведен электронный аукцион на оказание охранных услуг.</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 № 0122200002524003949 о проведении электронного аукциона (далее также - Извещение) размещено на официальном сайте Единой информационной системы в сфере закупок \\л\'\у./а1&lt;11р1&lt;1.до\лч1 (далее также - ЕИС) 07.10.2024.</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составляет 1 881 634,65 рублей.</w:t>
      </w:r>
    </w:p>
    <w:p>
      <w:pPr>
        <w:pStyle w:val="Style24"/>
        <w:keepNext/>
        <w:keepLines/>
        <w:widowControl w:val="0"/>
        <w:shd w:val="clear" w:color="auto" w:fill="auto"/>
        <w:bidi w:val="0"/>
        <w:spacing w:before="0" w:after="0" w:line="240" w:lineRule="auto"/>
        <w:ind w:left="0" w:right="0" w:firstLine="740"/>
        <w:jc w:val="both"/>
      </w:pPr>
      <w:bookmarkStart w:id="13" w:name="bookmark13"/>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18.10.2024.</w:t>
      </w:r>
      <w:bookmarkEnd w:id="13"/>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соответствии с протоколом подведения итогов определения поставщика (подрядчика, исполнителя) № 0122200002524003949 от 18.10.2024 на участие в закупке подано 2 заявки (идентификационные номера 12, 13). Согласно указанному протоколу заявка с идентификационным номером 13 признана комиссией по осуществлению закупок по следующему основанию: «Пп. а п. 1 ч. 5 ст. 49, п. 7 ч. 12 </w:t>
      </w:r>
      <w:r>
        <w:rPr>
          <w:color w:val="000000"/>
          <w:spacing w:val="0"/>
          <w:w w:val="100"/>
          <w:position w:val="0"/>
          <w:shd w:val="clear" w:color="auto" w:fill="auto"/>
          <w:lang w:val="ru-RU" w:eastAsia="ru-RU" w:bidi="ru-RU"/>
        </w:rPr>
        <w:t>ст. 48: отказ заказчика в принятии независимой гарантии по основаниям ч. 6 ст. 45; п. 7 ч. 12 ст. 48, п. 2, п. 3 ч. 6 ст.45 Федерального закона № 44-ФЗ - несоответствие независимой гарантии требованиям, предусмотренным ч. 8.2 ст. 45 Федерального закона №44-ФЗ, несоответствие независимой гарантии требованиям, содержащимся в извещении об осуществлении закупки. Согласно п. 6.1 раздела I. «Инструкция участникам аукциона в электронной форме», независимая гарантия должна быть составлена по утвержденной постановлением Правительства Российской Федерации от 8 ноября 2013 г.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типовой форме независимой гарантии. В независимой гарантии, предоставленной участником закупки в качестве обеспечения заявки, отсутствует информация, предусмотренная типовой формой независимой гарантии, а именно: телефон бенефициара (указан телефон Уполномоченного органа)».</w:t>
      </w:r>
    </w:p>
    <w:p>
      <w:pPr>
        <w:pStyle w:val="Style24"/>
        <w:keepNext/>
        <w:keepLines/>
        <w:widowControl w:val="0"/>
        <w:shd w:val="clear" w:color="auto" w:fill="auto"/>
        <w:bidi w:val="0"/>
        <w:spacing w:before="0" w:after="0" w:line="240" w:lineRule="auto"/>
        <w:ind w:left="0" w:right="0"/>
        <w:jc w:val="both"/>
      </w:pPr>
      <w:bookmarkStart w:id="16" w:name="bookmark16"/>
      <w:r>
        <w:rPr>
          <w:color w:val="000000"/>
          <w:spacing w:val="0"/>
          <w:w w:val="100"/>
          <w:position w:val="0"/>
          <w:shd w:val="clear" w:color="auto" w:fill="auto"/>
          <w:lang w:val="ru-RU" w:eastAsia="ru-RU" w:bidi="ru-RU"/>
        </w:rPr>
        <w:t>В ходе проведения проверочных мероприятий уполномоченным органом - комитетом государственного заказа Правительства Хабаровского края представлены мотивированные отзывы на жалобу, в соответствии с которыми считают жалобу необоснованной в полном объеме.</w:t>
      </w:r>
      <w:bookmarkEnd w:id="16"/>
    </w:p>
    <w:p>
      <w:pPr>
        <w:pStyle w:val="Style24"/>
        <w:keepNext/>
        <w:keepLines/>
        <w:widowControl w:val="0"/>
        <w:shd w:val="clear" w:color="auto" w:fill="auto"/>
        <w:bidi w:val="0"/>
        <w:spacing w:before="0" w:after="0" w:line="240" w:lineRule="auto"/>
        <w:ind w:left="0" w:right="0"/>
        <w:jc w:val="both"/>
      </w:pPr>
      <w:bookmarkStart w:id="18" w:name="bookmark18"/>
      <w:r>
        <w:rPr>
          <w:color w:val="000000"/>
          <w:spacing w:val="0"/>
          <w:w w:val="100"/>
          <w:position w:val="0"/>
          <w:shd w:val="clear" w:color="auto" w:fill="auto"/>
          <w:lang w:val="ru-RU" w:eastAsia="ru-RU" w:bidi="ru-RU"/>
        </w:rPr>
        <w:t>Рассмотрев представленные заказчиком документы и информацию, Комиссия Хабаровского УФАС России приходит к следующим выводам.</w:t>
      </w:r>
      <w:bookmarkEnd w:id="18"/>
    </w:p>
    <w:p>
      <w:pPr>
        <w:pStyle w:val="Style24"/>
        <w:keepNext/>
        <w:keepLines/>
        <w:widowControl w:val="0"/>
        <w:shd w:val="clear" w:color="auto" w:fill="auto"/>
        <w:bidi w:val="0"/>
        <w:spacing w:before="0" w:after="0" w:line="240" w:lineRule="auto"/>
        <w:ind w:left="0" w:right="0"/>
        <w:jc w:val="both"/>
      </w:pPr>
      <w:bookmarkStart w:id="20" w:name="bookmark20"/>
      <w:r>
        <w:rPr>
          <w:color w:val="000000"/>
          <w:spacing w:val="0"/>
          <w:w w:val="100"/>
          <w:position w:val="0"/>
          <w:shd w:val="clear" w:color="auto" w:fill="auto"/>
          <w:lang w:val="ru-RU" w:eastAsia="ru-RU" w:bidi="ru-RU"/>
        </w:rPr>
        <w:t>Ч. 2 ст. 8 Закона № 44-ФЗ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bookmarkEnd w:id="20"/>
    </w:p>
    <w:p>
      <w:pPr>
        <w:pStyle w:val="Style24"/>
        <w:keepNext/>
        <w:keepLines/>
        <w:widowControl w:val="0"/>
        <w:shd w:val="clear" w:color="auto" w:fill="auto"/>
        <w:bidi w:val="0"/>
        <w:spacing w:before="0" w:after="0" w:line="240" w:lineRule="auto"/>
        <w:ind w:left="0" w:right="0"/>
        <w:jc w:val="both"/>
      </w:pPr>
      <w:bookmarkStart w:id="22" w:name="bookmark22"/>
      <w:r>
        <w:rPr>
          <w:color w:val="000000"/>
          <w:spacing w:val="0"/>
          <w:w w:val="100"/>
          <w:position w:val="0"/>
          <w:shd w:val="clear" w:color="auto" w:fill="auto"/>
          <w:lang w:val="ru-RU" w:eastAsia="ru-RU" w:bidi="ru-RU"/>
        </w:rPr>
        <w:t>В соответствии с ч. 1 ст. 49 Закона № 44-ФЗ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 «м» - «п» п. 1, пп. «а» - «в» п. 2, п. 5 ч. 1 ст. 43 настоящего Федерального закона. Заявка также может содержать информацию и документы, предусмотренные пп. «д» п. 2 ч. 1 ст. 43 настоящего Федерального закона.</w:t>
      </w:r>
      <w:bookmarkEnd w:id="22"/>
    </w:p>
    <w:p>
      <w:pPr>
        <w:pStyle w:val="Style24"/>
        <w:keepNext/>
        <w:keepLines/>
        <w:widowControl w:val="0"/>
        <w:shd w:val="clear" w:color="auto" w:fill="auto"/>
        <w:bidi w:val="0"/>
        <w:spacing w:before="0" w:after="0" w:line="240" w:lineRule="auto"/>
        <w:ind w:left="0" w:right="0"/>
        <w:jc w:val="both"/>
      </w:pPr>
      <w:bookmarkStart w:id="24" w:name="bookmark24"/>
      <w:r>
        <w:rPr>
          <w:color w:val="000000"/>
          <w:spacing w:val="0"/>
          <w:w w:val="100"/>
          <w:position w:val="0"/>
          <w:shd w:val="clear" w:color="auto" w:fill="auto"/>
          <w:lang w:val="ru-RU" w:eastAsia="ru-RU" w:bidi="ru-RU"/>
        </w:rPr>
        <w:t>Согласно ч. 1 ст. 44 Закона № 44-ФЗ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bookmarkEnd w:id="24"/>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Обеспечение заявки на участие в закупке может предоставляться участником закупки в виде денежных средств или независимой гарантии, предусмотренной ст. 45 настоящего Федерального закона. Выбор способа обеспечения осуществляется </w:t>
      </w:r>
      <w:r>
        <w:rPr>
          <w:color w:val="000000"/>
          <w:spacing w:val="0"/>
          <w:w w:val="100"/>
          <w:position w:val="0"/>
          <w:shd w:val="clear" w:color="auto" w:fill="auto"/>
          <w:lang w:val="ru-RU" w:eastAsia="ru-RU" w:bidi="ru-RU"/>
        </w:rPr>
        <w:t>участником закупки самостоятельно. Срок действия независимой гарантии должен составлять не менее месяца с даты окончания срока подачи заявок (ч. 4 ст. 44 Закона № 44-ФЗ).</w:t>
      </w:r>
    </w:p>
    <w:p>
      <w:pPr>
        <w:pStyle w:val="Style24"/>
        <w:keepNext/>
        <w:keepLines/>
        <w:widowControl w:val="0"/>
        <w:shd w:val="clear" w:color="auto" w:fill="auto"/>
        <w:bidi w:val="0"/>
        <w:spacing w:before="0" w:after="0" w:line="240" w:lineRule="auto"/>
        <w:ind w:left="0" w:right="0"/>
        <w:jc w:val="both"/>
      </w:pPr>
      <w:bookmarkStart w:id="27" w:name="bookmark27"/>
      <w:r>
        <w:rPr>
          <w:color w:val="000000"/>
          <w:spacing w:val="0"/>
          <w:w w:val="100"/>
          <w:position w:val="0"/>
          <w:shd w:val="clear" w:color="auto" w:fill="auto"/>
          <w:lang w:val="ru-RU" w:eastAsia="ru-RU" w:bidi="ru-RU"/>
        </w:rPr>
        <w:t>В силу п. 1 ч. 5 ст.44 Закона № 44-ФЗ при проведении электронных процедур обеспечение заявки на участие в закупке предоставляется одним из следующих способов:</w:t>
      </w:r>
      <w:bookmarkEnd w:id="27"/>
    </w:p>
    <w:p>
      <w:pPr>
        <w:pStyle w:val="Style24"/>
        <w:keepNext/>
        <w:keepLines/>
        <w:widowControl w:val="0"/>
        <w:numPr>
          <w:ilvl w:val="0"/>
          <w:numId w:val="3"/>
        </w:numPr>
        <w:shd w:val="clear" w:color="auto" w:fill="auto"/>
        <w:tabs>
          <w:tab w:pos="1126" w:val="left"/>
        </w:tabs>
        <w:bidi w:val="0"/>
        <w:spacing w:before="0" w:after="0" w:line="240" w:lineRule="auto"/>
        <w:ind w:left="0" w:right="0"/>
        <w:jc w:val="both"/>
      </w:pPr>
      <w:bookmarkStart w:id="29" w:name="bookmark29"/>
      <w:r>
        <w:rPr>
          <w:color w:val="000000"/>
          <w:spacing w:val="0"/>
          <w:w w:val="100"/>
          <w:position w:val="0"/>
          <w:shd w:val="clear" w:color="auto" w:fill="auto"/>
          <w:lang w:val="ru-RU" w:eastAsia="ru-RU" w:bidi="ru-RU"/>
        </w:rPr>
        <w:t>путем блокирования денежных средств на банковском счете, открытом таким участником в банке, включенном в перечень, утвержденный Правительством Российской Федерации (далее - специальный счет), для их перевода в случаях, предусмотренных настоящей статьей, на счет, на котором в соответствии с законодательством Российской Федерации учитываются операции со средствами, поступающими заказчику, или в соответствующий бюджет бюджетной системы Российской Федерации. Требования к таким банкам, к договору специального счета, к порядку использования имеющегося у участника закупки банковского счета в качестве специального счета устанавливаются Правительством Российской Федерации;</w:t>
      </w:r>
      <w:bookmarkEnd w:id="29"/>
    </w:p>
    <w:p>
      <w:pPr>
        <w:pStyle w:val="Style24"/>
        <w:keepNext/>
        <w:keepLines/>
        <w:widowControl w:val="0"/>
        <w:numPr>
          <w:ilvl w:val="0"/>
          <w:numId w:val="3"/>
        </w:numPr>
        <w:shd w:val="clear" w:color="auto" w:fill="auto"/>
        <w:tabs>
          <w:tab w:pos="1126" w:val="left"/>
        </w:tabs>
        <w:bidi w:val="0"/>
        <w:spacing w:before="0" w:after="0" w:line="240" w:lineRule="auto"/>
        <w:ind w:left="0" w:right="0"/>
        <w:jc w:val="both"/>
      </w:pPr>
      <w:bookmarkStart w:id="31" w:name="bookmark31"/>
      <w:r>
        <w:rPr>
          <w:color w:val="000000"/>
          <w:spacing w:val="0"/>
          <w:w w:val="100"/>
          <w:position w:val="0"/>
          <w:shd w:val="clear" w:color="auto" w:fill="auto"/>
          <w:lang w:val="ru-RU" w:eastAsia="ru-RU" w:bidi="ru-RU"/>
        </w:rPr>
        <w:t>путем предоставления независимой гарантии, соответствующей требованиям ст. 45 настоящего Федерального закона.</w:t>
      </w:r>
      <w:bookmarkEnd w:id="31"/>
    </w:p>
    <w:p>
      <w:pPr>
        <w:pStyle w:val="Style24"/>
        <w:keepNext/>
        <w:keepLines/>
        <w:widowControl w:val="0"/>
        <w:shd w:val="clear" w:color="auto" w:fill="auto"/>
        <w:bidi w:val="0"/>
        <w:spacing w:before="0" w:after="0" w:line="240" w:lineRule="auto"/>
        <w:ind w:left="0" w:right="0"/>
        <w:jc w:val="both"/>
      </w:pPr>
      <w:bookmarkStart w:id="33" w:name="bookmark33"/>
      <w:r>
        <w:rPr>
          <w:color w:val="000000"/>
          <w:spacing w:val="0"/>
          <w:w w:val="100"/>
          <w:position w:val="0"/>
          <w:shd w:val="clear" w:color="auto" w:fill="auto"/>
          <w:lang w:val="ru-RU" w:eastAsia="ru-RU" w:bidi="ru-RU"/>
        </w:rPr>
        <w:t>В соответствии с ч.ч. 5 и 6 ст. 45 Федерального закона о контрактной системе Заказчик рассматривает поступившую независимую гарантию в срок, не превышающий трех рабочих дней со дня ее поступления, если настоящим Федеральным законом не установлено иное.</w:t>
      </w:r>
      <w:bookmarkEnd w:id="33"/>
    </w:p>
    <w:p>
      <w:pPr>
        <w:pStyle w:val="Style24"/>
        <w:keepNext/>
        <w:keepLines/>
        <w:widowControl w:val="0"/>
        <w:shd w:val="clear" w:color="auto" w:fill="auto"/>
        <w:bidi w:val="0"/>
        <w:spacing w:before="0" w:after="0" w:line="240" w:lineRule="auto"/>
        <w:ind w:left="0" w:right="0"/>
        <w:jc w:val="both"/>
      </w:pPr>
      <w:bookmarkStart w:id="35" w:name="bookmark35"/>
      <w:r>
        <w:rPr>
          <w:color w:val="000000"/>
          <w:spacing w:val="0"/>
          <w:w w:val="100"/>
          <w:position w:val="0"/>
          <w:shd w:val="clear" w:color="auto" w:fill="auto"/>
          <w:lang w:val="ru-RU" w:eastAsia="ru-RU" w:bidi="ru-RU"/>
        </w:rPr>
        <w:t>Основанием для отказа в принятии независимой гарантии заказчиком является:</w:t>
      </w:r>
      <w:bookmarkEnd w:id="35"/>
    </w:p>
    <w:p>
      <w:pPr>
        <w:pStyle w:val="Style24"/>
        <w:keepNext/>
        <w:keepLines/>
        <w:widowControl w:val="0"/>
        <w:numPr>
          <w:ilvl w:val="0"/>
          <w:numId w:val="5"/>
        </w:numPr>
        <w:shd w:val="clear" w:color="auto" w:fill="auto"/>
        <w:tabs>
          <w:tab w:pos="1126" w:val="left"/>
        </w:tabs>
        <w:bidi w:val="0"/>
        <w:spacing w:before="0" w:after="0" w:line="240" w:lineRule="auto"/>
        <w:ind w:left="0" w:right="0"/>
        <w:jc w:val="both"/>
      </w:pPr>
      <w:bookmarkStart w:id="37" w:name="bookmark37"/>
      <w:r>
        <w:rPr>
          <w:color w:val="000000"/>
          <w:spacing w:val="0"/>
          <w:w w:val="100"/>
          <w:position w:val="0"/>
          <w:shd w:val="clear" w:color="auto" w:fill="auto"/>
          <w:lang w:val="ru-RU" w:eastAsia="ru-RU" w:bidi="ru-RU"/>
        </w:rPr>
        <w:t>отсутствие информации о независимой гарантии в предусмотренных настоящей статьей реестрах независимых гарантий;</w:t>
      </w:r>
      <w:bookmarkEnd w:id="37"/>
    </w:p>
    <w:p>
      <w:pPr>
        <w:pStyle w:val="Style24"/>
        <w:keepNext/>
        <w:keepLines/>
        <w:widowControl w:val="0"/>
        <w:numPr>
          <w:ilvl w:val="0"/>
          <w:numId w:val="5"/>
        </w:numPr>
        <w:shd w:val="clear" w:color="auto" w:fill="auto"/>
        <w:tabs>
          <w:tab w:pos="1126" w:val="left"/>
        </w:tabs>
        <w:bidi w:val="0"/>
        <w:spacing w:before="0" w:after="0" w:line="240" w:lineRule="auto"/>
        <w:ind w:left="0" w:right="0"/>
        <w:jc w:val="both"/>
      </w:pPr>
      <w:bookmarkStart w:id="39" w:name="bookmark39"/>
      <w:r>
        <w:rPr>
          <w:color w:val="000000"/>
          <w:spacing w:val="0"/>
          <w:w w:val="100"/>
          <w:position w:val="0"/>
          <w:shd w:val="clear" w:color="auto" w:fill="auto"/>
          <w:lang w:val="ru-RU" w:eastAsia="ru-RU" w:bidi="ru-RU"/>
        </w:rPr>
        <w:t>несоответствие независимой гарантии требованиям, предусмотренным частями 2, 3 и 8.2 настоящей статьи;</w:t>
      </w:r>
      <w:bookmarkEnd w:id="39"/>
    </w:p>
    <w:p>
      <w:pPr>
        <w:pStyle w:val="Style24"/>
        <w:keepNext/>
        <w:keepLines/>
        <w:widowControl w:val="0"/>
        <w:numPr>
          <w:ilvl w:val="0"/>
          <w:numId w:val="5"/>
        </w:numPr>
        <w:shd w:val="clear" w:color="auto" w:fill="auto"/>
        <w:tabs>
          <w:tab w:pos="1126" w:val="left"/>
        </w:tabs>
        <w:bidi w:val="0"/>
        <w:spacing w:before="0" w:after="0" w:line="240" w:lineRule="auto"/>
        <w:ind w:left="0" w:right="0"/>
        <w:jc w:val="both"/>
      </w:pPr>
      <w:bookmarkStart w:id="41" w:name="bookmark41"/>
      <w:r>
        <w:rPr>
          <w:color w:val="000000"/>
          <w:spacing w:val="0"/>
          <w:w w:val="100"/>
          <w:position w:val="0"/>
          <w:shd w:val="clear" w:color="auto" w:fill="auto"/>
          <w:lang w:val="ru-RU" w:eastAsia="ru-RU" w:bidi="ru-RU"/>
        </w:rPr>
        <w:t>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bookmarkEnd w:id="41"/>
    </w:p>
    <w:p>
      <w:pPr>
        <w:pStyle w:val="Style24"/>
        <w:keepNext/>
        <w:keepLines/>
        <w:widowControl w:val="0"/>
        <w:shd w:val="clear" w:color="auto" w:fill="auto"/>
        <w:bidi w:val="0"/>
        <w:spacing w:before="0" w:after="0" w:line="240" w:lineRule="auto"/>
        <w:ind w:left="0" w:right="0"/>
        <w:jc w:val="both"/>
      </w:pPr>
      <w:bookmarkStart w:id="43" w:name="bookmark43"/>
      <w:r>
        <w:rPr>
          <w:color w:val="000000"/>
          <w:spacing w:val="0"/>
          <w:w w:val="100"/>
          <w:position w:val="0"/>
          <w:shd w:val="clear" w:color="auto" w:fill="auto"/>
          <w:lang w:val="ru-RU" w:eastAsia="ru-RU" w:bidi="ru-RU"/>
        </w:rPr>
        <w:t>На основании ч. 8.2 ст. 45 Закона № 44-ФЗ дополнительные требования к независимой гарантии, используемой для целей данного закона,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такого закона, форма требования об уплате денежной суммы по независимой гарантии устанавливаются Правительством Российской Федерации.</w:t>
      </w:r>
      <w:bookmarkEnd w:id="43"/>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Постановлением Правительства Российской Федерации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w:t>
      </w:r>
      <w:r>
        <w:rPr>
          <w:color w:val="000000"/>
          <w:spacing w:val="0"/>
          <w:w w:val="100"/>
          <w:position w:val="0"/>
          <w:shd w:val="clear" w:color="auto" w:fill="auto"/>
          <w:lang w:val="ru-RU" w:eastAsia="ru-RU" w:bidi="ru-RU"/>
        </w:rPr>
        <w:t>государственных и муниципальных нужд» (далее - Постановление № 1005) утверждены, в том числе:</w:t>
      </w:r>
    </w:p>
    <w:p>
      <w:pPr>
        <w:pStyle w:val="Style24"/>
        <w:keepNext/>
        <w:keepLines/>
        <w:widowControl w:val="0"/>
        <w:numPr>
          <w:ilvl w:val="0"/>
          <w:numId w:val="7"/>
        </w:numPr>
        <w:shd w:val="clear" w:color="auto" w:fill="auto"/>
        <w:tabs>
          <w:tab w:pos="1024" w:val="left"/>
        </w:tabs>
        <w:bidi w:val="0"/>
        <w:spacing w:before="0" w:after="0" w:line="240" w:lineRule="auto"/>
        <w:ind w:left="0" w:right="0" w:firstLine="740"/>
        <w:jc w:val="both"/>
      </w:pPr>
      <w:bookmarkStart w:id="46" w:name="bookmark46"/>
      <w:r>
        <w:rPr>
          <w:color w:val="000000"/>
          <w:spacing w:val="0"/>
          <w:w w:val="100"/>
          <w:position w:val="0"/>
          <w:shd w:val="clear" w:color="auto" w:fill="auto"/>
          <w:lang w:val="ru-RU" w:eastAsia="ru-RU" w:bidi="ru-RU"/>
        </w:rPr>
        <w:t>дополнительные требования к независимой гарантии, используемой для целей Закона № 44-ФЗ (далее - Дополнительные требования);</w:t>
      </w:r>
      <w:bookmarkEnd w:id="46"/>
    </w:p>
    <w:p>
      <w:pPr>
        <w:pStyle w:val="Style24"/>
        <w:keepNext/>
        <w:keepLines/>
        <w:widowControl w:val="0"/>
        <w:numPr>
          <w:ilvl w:val="0"/>
          <w:numId w:val="7"/>
        </w:numPr>
        <w:shd w:val="clear" w:color="auto" w:fill="auto"/>
        <w:tabs>
          <w:tab w:pos="1024" w:val="left"/>
        </w:tabs>
        <w:bidi w:val="0"/>
        <w:spacing w:before="0" w:after="0" w:line="240" w:lineRule="auto"/>
        <w:ind w:left="0" w:right="0" w:firstLine="740"/>
        <w:jc w:val="both"/>
      </w:pPr>
      <w:bookmarkStart w:id="48" w:name="bookmark48"/>
      <w:r>
        <w:rPr>
          <w:color w:val="000000"/>
          <w:spacing w:val="0"/>
          <w:w w:val="100"/>
          <w:position w:val="0"/>
          <w:shd w:val="clear" w:color="auto" w:fill="auto"/>
          <w:lang w:val="ru-RU" w:eastAsia="ru-RU" w:bidi="ru-RU"/>
        </w:rPr>
        <w:t>типовая форма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(далее - Типовая форма).</w:t>
      </w:r>
      <w:bookmarkEnd w:id="48"/>
    </w:p>
    <w:p>
      <w:pPr>
        <w:pStyle w:val="Style24"/>
        <w:keepNext/>
        <w:keepLines/>
        <w:widowControl w:val="0"/>
        <w:shd w:val="clear" w:color="auto" w:fill="auto"/>
        <w:bidi w:val="0"/>
        <w:spacing w:before="0" w:after="0" w:line="240" w:lineRule="auto"/>
        <w:ind w:left="0" w:right="0" w:firstLine="740"/>
        <w:jc w:val="both"/>
      </w:pPr>
      <w:bookmarkStart w:id="50" w:name="bookmark50"/>
      <w:r>
        <w:rPr>
          <w:color w:val="000000"/>
          <w:spacing w:val="0"/>
          <w:w w:val="100"/>
          <w:position w:val="0"/>
          <w:shd w:val="clear" w:color="auto" w:fill="auto"/>
          <w:lang w:val="ru-RU" w:eastAsia="ru-RU" w:bidi="ru-RU"/>
        </w:rPr>
        <w:t>В силу Дополнительных требований независимая гарантия оформляется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гаранта, и должна быть составлена по утвержденным Постановлением № 1005 типовой форме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(в случае составления независимой гарантии, предоставляемой в качестве обеспечения заявки на участие в закупке).</w:t>
      </w:r>
      <w:bookmarkEnd w:id="50"/>
    </w:p>
    <w:p>
      <w:pPr>
        <w:pStyle w:val="Style24"/>
        <w:keepNext/>
        <w:keepLines/>
        <w:widowControl w:val="0"/>
        <w:shd w:val="clear" w:color="auto" w:fill="auto"/>
        <w:bidi w:val="0"/>
        <w:spacing w:before="0" w:after="0" w:line="240" w:lineRule="auto"/>
        <w:ind w:left="0" w:right="0" w:firstLine="740"/>
        <w:jc w:val="both"/>
      </w:pPr>
      <w:bookmarkStart w:id="52" w:name="bookmark52"/>
      <w:r>
        <w:rPr>
          <w:color w:val="000000"/>
          <w:spacing w:val="0"/>
          <w:w w:val="100"/>
          <w:position w:val="0"/>
          <w:shd w:val="clear" w:color="auto" w:fill="auto"/>
          <w:lang w:val="ru-RU" w:eastAsia="ru-RU" w:bidi="ru-RU"/>
        </w:rPr>
        <w:t>Корреспондирующие Дополнительным требованиям к независимой гарантии условия отражены в п. 6.1 Инструкции участникам аукциона в электронной форме (раздел I Извещения).</w:t>
      </w:r>
      <w:bookmarkEnd w:id="52"/>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Типовой форме независимая гарантия наряду с иной информацией должна содержать телефон, адрес электронной почты принципала, телефон, адрес электронной почты бенефициара.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 7 ч. 12 ст. 48 Закона № 44-ФЗ при рассмотрении вторых частей заявок на участие в закупке соответствующая заявка подлежит отклонению в случаях, предусмотренных ч. 6 ст. 45 данного закона.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Порядок рассмотрения заявок участников закупки при проведении электронного аукциона предусмотрен ч. 5 ст. 49 Закона № 44-ФЗ.</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названной норме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9"/>
        <w:keepNext w:val="0"/>
        <w:keepLines w:val="0"/>
        <w:widowControl w:val="0"/>
        <w:numPr>
          <w:ilvl w:val="0"/>
          <w:numId w:val="9"/>
        </w:numPr>
        <w:shd w:val="clear" w:color="auto" w:fill="auto"/>
        <w:tabs>
          <w:tab w:pos="109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члены комиссии по осуществлению закупок:</w:t>
      </w:r>
    </w:p>
    <w:p>
      <w:pPr>
        <w:pStyle w:val="Style9"/>
        <w:keepNext w:val="0"/>
        <w:keepLines w:val="0"/>
        <w:widowControl w:val="0"/>
        <w:numPr>
          <w:ilvl w:val="0"/>
          <w:numId w:val="11"/>
        </w:numPr>
        <w:shd w:val="clear" w:color="auto" w:fill="auto"/>
        <w:tabs>
          <w:tab w:pos="110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 4 ч.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1 - 8 ч. 12 ст. 48 такого закона;</w:t>
      </w:r>
    </w:p>
    <w:p>
      <w:pPr>
        <w:pStyle w:val="Style9"/>
        <w:keepNext w:val="0"/>
        <w:keepLines w:val="0"/>
        <w:widowControl w:val="0"/>
        <w:numPr>
          <w:ilvl w:val="0"/>
          <w:numId w:val="11"/>
        </w:numPr>
        <w:shd w:val="clear" w:color="auto" w:fill="auto"/>
        <w:tabs>
          <w:tab w:pos="111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пп. «а» данного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w:t>
      </w:r>
      <w:r>
        <w:rPr>
          <w:color w:val="000000"/>
          <w:spacing w:val="0"/>
          <w:w w:val="100"/>
          <w:position w:val="0"/>
          <w:shd w:val="clear" w:color="auto" w:fill="auto"/>
          <w:lang w:val="ru-RU" w:eastAsia="ru-RU" w:bidi="ru-RU"/>
        </w:rPr>
        <w:t>части 3 такой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данной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данного закона. Заявке на участие в закупке победителя определения поставщика (подрядчика, исполнителя) присваивается первый номер;</w:t>
      </w:r>
    </w:p>
    <w:p>
      <w:pPr>
        <w:pStyle w:val="Style9"/>
        <w:keepNext w:val="0"/>
        <w:keepLines w:val="0"/>
        <w:widowControl w:val="0"/>
        <w:numPr>
          <w:ilvl w:val="0"/>
          <w:numId w:val="9"/>
        </w:numPr>
        <w:shd w:val="clear" w:color="auto" w:fill="auto"/>
        <w:tabs>
          <w:tab w:pos="1123"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п.п. 1, 2, 4 - 7 ч. 17 ст. 48 данного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Из содержания протокола подведения итогов определения поставщика (подрядчика, исполнителя) № 0122200002524003949 от 18.10.2024 следует, что заявка участника закупки с идентификационным номером 13 (заявка заявителя) отклонена комиссией по осуществлению закупок по следующему основанию: «Пп. а п. 1 ч. 5 ст. 49, п. 7 ч. 12 ст. 48: отказ заказчика в принятии независимой гарантии по основаниям ч. 6 ст. 45; п. 7 ч. 12 ст. 48, п. 2, п. 3 ч. 6 ст.45 Федерального закона № 44- ФЗ - несоответствие независимой гарантии требованиям, предусмотренным ч. 8.2 ст. 45 Федерального закона №44-ФЗ, несоответствие независимой гарантии требованиям, содержащимся в извещении об осуществлении закупки. Согласно п. 6.1 раздела I. «Инструкция участникам аукциона в электронной форме», независимая гарантия должна быть составлена по утвержденной постановлением Правительства Российской Федерации от 8 ноября 2013 г.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типовой форме независимой гарантии. В независимой гарантии, предоставленной участником закупки в качестве обеспечения заявки, отсутствует информация, предусмотренная типовой формой независимой гарантии, а именно: телефон бенефициара (указан телефон Уполномоченного органа)».</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Материалами дела подтверждено, что участником закупки ООО «ЧОП «Беркутъ» в качестве обеспечения заявки представлена независимая гарантия от 27.03.2023 № 1761905, выданная Обществу ПАО «Транскапиталбанк».</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При этом сама независимая гарантия не содержит информацию, предусмотренную Типовой формой, о телефоне бенефициара (указан телефон Уполномоченного органа).</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Данные обстоятельства явились основанием для отклонения заявки Общества по причине несоответствия независимой гарантии требованиям, предусмотренным ч. 8.2 ст. 45 Федерального закона № 44-ФЗ, а также требованиям, содержащимся в п. 6.1 Инструкции участникам аукциона в электронной форме (раздела I. Извещения).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При оценке доводов заявителя с учетом обязательности применения Типовой формы, Комиссия Хабаровского УФАС России приходит к выводу о том, что</w:t>
        <w:br w:type="page"/>
      </w:r>
      <w:r>
        <w:rPr>
          <w:color w:val="000000"/>
          <w:spacing w:val="0"/>
          <w:w w:val="100"/>
          <w:position w:val="0"/>
          <w:shd w:val="clear" w:color="auto" w:fill="auto"/>
          <w:lang w:val="ru-RU" w:eastAsia="ru-RU" w:bidi="ru-RU"/>
        </w:rPr>
        <w:t>действия комиссии по осуществлению закупок, принявшей решение об отклонении заявки заявителя, не противоречат требованиям Закона № 44-ФЗ, в связи с чем жалоба признана необоснованной.</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Комиссия Хабаровского УФАС России приходит к выводу, что действия ПАО «Транскапиталбанк», выдавшего независимую гарантию от 27.03.2023 № 1761905, не соответствующую Типовой форме, нарушают ч. 8.2 ст. 45 Закона № 44-ФЗ.</w:t>
      </w:r>
    </w:p>
    <w:p>
      <w:pPr>
        <w:pStyle w:val="Style9"/>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Комиссией Хабаровского УФАС России принято решение выдать предписание.</w:t>
      </w:r>
    </w:p>
    <w:p>
      <w:pPr>
        <w:pStyle w:val="Style9"/>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и руководствуясь ст.ст. 99, 105 Закона № 44-ФЗ, Комиссия Хабаровского УФАС России</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9"/>
        <w:keepNext w:val="0"/>
        <w:keepLines w:val="0"/>
        <w:widowControl w:val="0"/>
        <w:numPr>
          <w:ilvl w:val="0"/>
          <w:numId w:val="13"/>
        </w:numPr>
        <w:shd w:val="clear" w:color="auto" w:fill="auto"/>
        <w:tabs>
          <w:tab w:pos="141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Признать жалобу ООО «ЧОП «Беркутъ» на действия закупочной комиссии по осуществлению закупок при проведении электронного аукциона на оказание охранных услуг (извещение № 0122200002524003949) - </w:t>
      </w:r>
      <w:r>
        <w:rPr>
          <w:b/>
          <w:bCs/>
          <w:color w:val="000000"/>
          <w:spacing w:val="0"/>
          <w:w w:val="100"/>
          <w:position w:val="0"/>
          <w:shd w:val="clear" w:color="auto" w:fill="auto"/>
          <w:lang w:val="ru-RU" w:eastAsia="ru-RU" w:bidi="ru-RU"/>
        </w:rPr>
        <w:t>необоснованной.</w:t>
      </w:r>
    </w:p>
    <w:p>
      <w:pPr>
        <w:pStyle w:val="Style9"/>
        <w:keepNext w:val="0"/>
        <w:keepLines w:val="0"/>
        <w:widowControl w:val="0"/>
        <w:numPr>
          <w:ilvl w:val="0"/>
          <w:numId w:val="13"/>
        </w:numPr>
        <w:shd w:val="clear" w:color="auto" w:fill="auto"/>
        <w:tabs>
          <w:tab w:pos="141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в действиях ПАО «Транскапиталбанк» нарушение ч. 8.2 ст. 45 Закона № 44-ФЗ.</w:t>
      </w:r>
    </w:p>
    <w:p>
      <w:pPr>
        <w:pStyle w:val="Style9"/>
        <w:keepNext w:val="0"/>
        <w:keepLines w:val="0"/>
        <w:widowControl w:val="0"/>
        <w:numPr>
          <w:ilvl w:val="0"/>
          <w:numId w:val="13"/>
        </w:numPr>
        <w:shd w:val="clear" w:color="auto" w:fill="auto"/>
        <w:tabs>
          <w:tab w:pos="1411" w:val="left"/>
        </w:tabs>
        <w:bidi w:val="0"/>
        <w:spacing w:before="0" w:after="280" w:line="240" w:lineRule="auto"/>
        <w:ind w:left="0" w:right="0" w:firstLine="740"/>
        <w:jc w:val="both"/>
      </w:pPr>
      <w:r>
        <w:rPr>
          <w:color w:val="000000"/>
          <w:spacing w:val="0"/>
          <w:w w:val="100"/>
          <w:position w:val="0"/>
          <w:shd w:val="clear" w:color="auto" w:fill="auto"/>
          <w:lang w:val="ru-RU" w:eastAsia="ru-RU" w:bidi="ru-RU"/>
        </w:rPr>
        <w:t>Выдать комиссии по осуществлению закупок, ПАО «Транскапиталбанк», оператору ЭТП Газпромбанк предписание об устранении выявленного нарушения Закона № 44-ФЗ.</w:t>
      </w:r>
    </w:p>
    <w:p>
      <w:pPr>
        <w:pStyle w:val="Style9"/>
        <w:keepNext w:val="0"/>
        <w:keepLines w:val="0"/>
        <w:widowControl w:val="0"/>
        <w:shd w:val="clear" w:color="auto" w:fill="auto"/>
        <w:bidi w:val="0"/>
        <w:spacing w:before="0" w:after="340" w:line="240" w:lineRule="auto"/>
        <w:ind w:left="0" w:right="0" w:firstLine="740"/>
        <w:jc w:val="both"/>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pStyle w:val="Style9"/>
        <w:keepNext w:val="0"/>
        <w:keepLines w:val="0"/>
        <w:widowControl w:val="0"/>
        <w:shd w:val="clear" w:color="auto" w:fill="auto"/>
        <w:bidi w:val="0"/>
        <w:spacing w:before="0" w:after="280" w:line="240" w:lineRule="auto"/>
        <w:ind w:left="0" w:right="0" w:firstLine="0"/>
        <w:jc w:val="left"/>
      </w:pPr>
      <w:r>
        <w:drawing>
          <wp:anchor distT="0" distB="0" distL="114300" distR="3598545" simplePos="0" relativeHeight="125829381" behindDoc="0" locked="0" layoutInCell="1" allowOverlap="1">
            <wp:simplePos x="0" y="0"/>
            <wp:positionH relativeFrom="page">
              <wp:posOffset>3352165</wp:posOffset>
            </wp:positionH>
            <wp:positionV relativeFrom="paragraph">
              <wp:posOffset>38100</wp:posOffset>
            </wp:positionV>
            <wp:extent cx="353695" cy="536575"/>
            <wp:wrapSquare wrapText="lef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3815715</wp:posOffset>
                </wp:positionH>
                <wp:positionV relativeFrom="paragraph">
                  <wp:posOffset>440690</wp:posOffset>
                </wp:positionV>
                <wp:extent cx="1283335" cy="103505"/>
                <wp:wrapNone/>
                <wp:docPr id="11" name="Shape 1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1E1E1"/>
                                <w:spacing w:val="0"/>
                                <w:w w:val="100"/>
                                <w:position w:val="0"/>
                                <w:sz w:val="11"/>
                                <w:szCs w:val="11"/>
                                <w:shd w:val="clear" w:color="auto" w:fill="auto"/>
                                <w:lang w:val="ru-RU" w:eastAsia="ru-RU" w:bidi="ru-RU"/>
                              </w:rPr>
                              <w:t xml:space="preserve">СВЕДЕНИЯ О </w:t>
                            </w:r>
                            <w:r>
                              <w:rPr>
                                <w:b/>
                                <w:bCs/>
                                <w:color w:val="FFFFFF"/>
                                <w:spacing w:val="0"/>
                                <w:w w:val="100"/>
                                <w:position w:val="0"/>
                                <w:sz w:val="11"/>
                                <w:szCs w:val="11"/>
                                <w:shd w:val="clear" w:color="auto" w:fill="auto"/>
                                <w:lang w:val="ru-RU" w:eastAsia="ru-RU" w:bidi="ru-RU"/>
                              </w:rPr>
                              <w:t xml:space="preserve">СЕРТИФИКАТЕ </w:t>
                            </w:r>
                            <w:r>
                              <w:rPr>
                                <w:b/>
                                <w:bCs/>
                                <w:color w:val="E1E1E1"/>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37" type="#_x0000_t202" style="position:absolute;margin-left:300.44999999999999pt;margin-top:34.700000000000003pt;width:101.05pt;height:8.15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1E1E1"/>
                          <w:spacing w:val="0"/>
                          <w:w w:val="100"/>
                          <w:position w:val="0"/>
                          <w:sz w:val="11"/>
                          <w:szCs w:val="11"/>
                          <w:shd w:val="clear" w:color="auto" w:fill="auto"/>
                          <w:lang w:val="ru-RU" w:eastAsia="ru-RU" w:bidi="ru-RU"/>
                        </w:rPr>
                        <w:t xml:space="preserve">СВЕДЕНИЯ О </w:t>
                      </w:r>
                      <w:r>
                        <w:rPr>
                          <w:b/>
                          <w:bCs/>
                          <w:color w:val="FFFFFF"/>
                          <w:spacing w:val="0"/>
                          <w:w w:val="100"/>
                          <w:position w:val="0"/>
                          <w:sz w:val="11"/>
                          <w:szCs w:val="11"/>
                          <w:shd w:val="clear" w:color="auto" w:fill="auto"/>
                          <w:lang w:val="ru-RU" w:eastAsia="ru-RU" w:bidi="ru-RU"/>
                        </w:rPr>
                        <w:t xml:space="preserve">СЕРТИФИКАТЕ </w:t>
                      </w:r>
                      <w:r>
                        <w:rPr>
                          <w:b/>
                          <w:bCs/>
                          <w:color w:val="E1E1E1"/>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3769995</wp:posOffset>
                </wp:positionH>
                <wp:positionV relativeFrom="paragraph">
                  <wp:posOffset>129540</wp:posOffset>
                </wp:positionV>
                <wp:extent cx="1725295" cy="255905"/>
                <wp:wrapNone/>
                <wp:docPr id="13" name="Shape 1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96.85000000000002pt;margin-top:10.200000000000001pt;width:135.84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58750" distB="137160" distL="2674620" distR="114300" simplePos="0" relativeHeight="125829382" behindDoc="0" locked="0" layoutInCell="1" allowOverlap="1">
                <wp:simplePos x="0" y="0"/>
                <wp:positionH relativeFrom="page">
                  <wp:posOffset>5912485</wp:posOffset>
                </wp:positionH>
                <wp:positionV relativeFrom="paragraph">
                  <wp:posOffset>196850</wp:posOffset>
                </wp:positionV>
                <wp:extent cx="1276985" cy="240665"/>
                <wp:wrapSquare wrapText="left"/>
                <wp:docPr id="15" name="Shape 15"/>
                <a:graphic xmlns:a="http://schemas.openxmlformats.org/drawingml/2006/main">
                  <a:graphicData uri="http://schemas.microsoft.com/office/word/2010/wordprocessingShape">
                    <wps:wsp>
                      <wps:cNvSpPr txBox="1"/>
                      <wps:spPr>
                        <a:xfrm>
                          <a:ext cx="1276985" cy="24066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Михайлова</w:t>
                            </w:r>
                          </w:p>
                        </w:txbxContent>
                      </wps:txbx>
                      <wps:bodyPr wrap="none" lIns="0" tIns="0" rIns="0" bIns="0">
                        <a:noAutoFit/>
                      </wps:bodyPr>
                    </wps:wsp>
                  </a:graphicData>
                </a:graphic>
              </wp:anchor>
            </w:drawing>
          </mc:Choice>
          <mc:Fallback>
            <w:pict>
              <v:shape id="_x0000_s1041" type="#_x0000_t202" style="position:absolute;margin-left:465.55000000000001pt;margin-top:15.5pt;width:100.55pt;height:18.949999999999999pt;z-index:-125829371;mso-wrap-distance-left:210.59999999999999pt;mso-wrap-distance-top:12.5pt;mso-wrap-distance-right:9.pt;mso-wrap-distance-bottom:10.8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Михайлова</w:t>
                      </w:r>
                    </w:p>
                  </w:txbxContent>
                </v:textbox>
                <w10:wrap type="square" side="left" anchorx="page"/>
              </v:shape>
            </w:pict>
          </mc:Fallback>
        </mc:AlternateContent>
      </w:r>
      <w:r>
        <w:rPr>
          <w:color w:val="000000"/>
          <w:spacing w:val="0"/>
          <w:w w:val="100"/>
          <w:position w:val="0"/>
          <w:shd w:val="clear" w:color="auto" w:fill="auto"/>
          <w:lang w:val="ru-RU" w:eastAsia="ru-RU" w:bidi="ru-RU"/>
        </w:rPr>
        <w:t>Заместитель председателя комиссии:</w:t>
      </w:r>
    </w:p>
    <w:p>
      <w:pPr>
        <w:pStyle w:val="Style27"/>
        <w:keepNext w:val="0"/>
        <w:keepLines w:val="0"/>
        <w:widowControl w:val="0"/>
        <w:shd w:val="clear" w:color="auto" w:fill="auto"/>
        <w:bidi w:val="0"/>
        <w:spacing w:before="0" w:after="0" w:line="240" w:lineRule="auto"/>
        <w:ind w:right="0" w:firstLine="0"/>
        <w:jc w:val="both"/>
        <w:rPr>
          <w:sz w:val="11"/>
          <w:szCs w:val="11"/>
        </w:rPr>
      </w:pPr>
      <w:r>
        <w:rPr>
          <w:color w:val="292929"/>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Михайлова Анастасия Александровна</w:t>
      </w:r>
    </w:p>
    <w:p>
      <w:pPr>
        <w:pStyle w:val="Style27"/>
        <w:keepNext w:val="0"/>
        <w:keepLines w:val="0"/>
        <w:widowControl w:val="0"/>
        <w:shd w:val="clear" w:color="auto" w:fill="auto"/>
        <w:bidi w:val="0"/>
        <w:spacing w:before="0" w:after="0" w:line="240" w:lineRule="auto"/>
        <w:ind w:right="0" w:firstLine="0"/>
        <w:jc w:val="both"/>
      </w:pPr>
      <w:r>
        <w:rPr>
          <w:color w:val="29292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92929"/>
          <w:spacing w:val="0"/>
          <w:w w:val="100"/>
          <w:position w:val="0"/>
          <w:shd w:val="clear" w:color="auto" w:fill="auto"/>
          <w:lang w:val="ru-RU" w:eastAsia="ru-RU" w:bidi="ru-RU"/>
        </w:rPr>
        <w:t>00СЕ777383994ВЗВАО5949967ЕАВ12АЕОЕ</w:t>
      </w:r>
    </w:p>
    <w:p>
      <w:pPr>
        <w:pStyle w:val="Style27"/>
        <w:keepNext w:val="0"/>
        <w:keepLines w:val="0"/>
        <w:widowControl w:val="0"/>
        <w:shd w:val="clear" w:color="auto" w:fill="auto"/>
        <w:bidi w:val="0"/>
        <w:spacing w:before="0" w:after="340" w:line="240" w:lineRule="auto"/>
        <w:ind w:left="0" w:right="0" w:firstLine="0"/>
        <w:jc w:val="center"/>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12.01.2024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06.04.2025</w:t>
      </w:r>
    </w:p>
    <w:p>
      <w:pPr>
        <w:pStyle w:val="Style9"/>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4" behindDoc="0" locked="0" layoutInCell="1" allowOverlap="1">
            <wp:simplePos x="0" y="0"/>
            <wp:positionH relativeFrom="page">
              <wp:posOffset>3409950</wp:posOffset>
            </wp:positionH>
            <wp:positionV relativeFrom="paragraph">
              <wp:posOffset>25400</wp:posOffset>
            </wp:positionV>
            <wp:extent cx="389890" cy="57277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3903980</wp:posOffset>
                </wp:positionH>
                <wp:positionV relativeFrom="paragraph">
                  <wp:posOffset>464185</wp:posOffset>
                </wp:positionV>
                <wp:extent cx="1280160" cy="103505"/>
                <wp:wrapNone/>
                <wp:docPr id="19" name="Shape 1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1E1E1"/>
                                <w:spacing w:val="0"/>
                                <w:w w:val="100"/>
                                <w:position w:val="0"/>
                                <w:sz w:val="11"/>
                                <w:szCs w:val="11"/>
                                <w:shd w:val="clear" w:color="auto" w:fill="auto"/>
                                <w:lang w:val="ru-RU" w:eastAsia="ru-RU" w:bidi="ru-RU"/>
                              </w:rPr>
                              <w:t xml:space="preserve">СВЕДЕНИЯ </w:t>
                            </w:r>
                            <w:r>
                              <w:rPr>
                                <w:b/>
                                <w:bCs/>
                                <w:color w:val="FFFFFF"/>
                                <w:spacing w:val="0"/>
                                <w:w w:val="100"/>
                                <w:position w:val="0"/>
                                <w:sz w:val="11"/>
                                <w:szCs w:val="11"/>
                                <w:shd w:val="clear" w:color="auto" w:fill="auto"/>
                                <w:lang w:val="ru-RU" w:eastAsia="ru-RU" w:bidi="ru-RU"/>
                              </w:rPr>
                              <w:t xml:space="preserve">О </w:t>
                            </w:r>
                            <w:r>
                              <w:rPr>
                                <w:b/>
                                <w:bCs/>
                                <w:color w:val="E1E1E1"/>
                                <w:spacing w:val="0"/>
                                <w:w w:val="100"/>
                                <w:position w:val="0"/>
                                <w:sz w:val="11"/>
                                <w:szCs w:val="11"/>
                                <w:shd w:val="clear" w:color="auto" w:fill="auto"/>
                                <w:lang w:val="ru-RU" w:eastAsia="ru-RU" w:bidi="ru-RU"/>
                              </w:rPr>
                              <w:t xml:space="preserve">СЕРТИФИКАТЕ </w:t>
                            </w:r>
                            <w:r>
                              <w:rPr>
                                <w:b/>
                                <w:bCs/>
                                <w:color w:val="FFFFFF"/>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45" type="#_x0000_t202" style="position:absolute;margin-left:307.40000000000003pt;margin-top:36.550000000000004pt;width:100.8pt;height:8.15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1E1E1"/>
                          <w:spacing w:val="0"/>
                          <w:w w:val="100"/>
                          <w:position w:val="0"/>
                          <w:sz w:val="11"/>
                          <w:szCs w:val="11"/>
                          <w:shd w:val="clear" w:color="auto" w:fill="auto"/>
                          <w:lang w:val="ru-RU" w:eastAsia="ru-RU" w:bidi="ru-RU"/>
                        </w:rPr>
                        <w:t xml:space="preserve">СВЕДЕНИЯ </w:t>
                      </w:r>
                      <w:r>
                        <w:rPr>
                          <w:b/>
                          <w:bCs/>
                          <w:color w:val="FFFFFF"/>
                          <w:spacing w:val="0"/>
                          <w:w w:val="100"/>
                          <w:position w:val="0"/>
                          <w:sz w:val="11"/>
                          <w:szCs w:val="11"/>
                          <w:shd w:val="clear" w:color="auto" w:fill="auto"/>
                          <w:lang w:val="ru-RU" w:eastAsia="ru-RU" w:bidi="ru-RU"/>
                        </w:rPr>
                        <w:t xml:space="preserve">О </w:t>
                      </w:r>
                      <w:r>
                        <w:rPr>
                          <w:b/>
                          <w:bCs/>
                          <w:color w:val="E1E1E1"/>
                          <w:spacing w:val="0"/>
                          <w:w w:val="100"/>
                          <w:position w:val="0"/>
                          <w:sz w:val="11"/>
                          <w:szCs w:val="11"/>
                          <w:shd w:val="clear" w:color="auto" w:fill="auto"/>
                          <w:lang w:val="ru-RU" w:eastAsia="ru-RU" w:bidi="ru-RU"/>
                        </w:rPr>
                        <w:t xml:space="preserve">СЕРТИФИКАТЕ </w:t>
                      </w:r>
                      <w:r>
                        <w:rPr>
                          <w:b/>
                          <w:bCs/>
                          <w:color w:val="FFFFFF"/>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3860800</wp:posOffset>
                </wp:positionH>
                <wp:positionV relativeFrom="paragraph">
                  <wp:posOffset>153670</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304.pt;margin-top:12.1pt;width:135.59999999999999pt;height:20.15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Ж.В. Кушнер</w:t>
      </w:r>
    </w:p>
    <w:p>
      <w:pPr>
        <w:pStyle w:val="Style27"/>
        <w:keepNext w:val="0"/>
        <w:keepLines w:val="0"/>
        <w:widowControl w:val="0"/>
        <w:shd w:val="clear" w:color="auto" w:fill="auto"/>
        <w:bidi w:val="0"/>
        <w:spacing w:before="0" w:after="0" w:line="240" w:lineRule="auto"/>
        <w:ind w:left="4340" w:right="0" w:firstLine="0"/>
        <w:jc w:val="both"/>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Кушнер Жанна Владимировна</w:t>
      </w:r>
    </w:p>
    <w:p>
      <w:pPr>
        <w:pStyle w:val="Style27"/>
        <w:keepNext w:val="0"/>
        <w:keepLines w:val="0"/>
        <w:widowControl w:val="0"/>
        <w:shd w:val="clear" w:color="auto" w:fill="auto"/>
        <w:bidi w:val="0"/>
        <w:spacing w:before="0" w:after="0" w:line="240" w:lineRule="auto"/>
        <w:ind w:left="4340"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1303А52900С10636543ЕЕВЕ625АВ587А</w:t>
      </w:r>
    </w:p>
    <w:p>
      <w:pPr>
        <w:pStyle w:val="Style27"/>
        <w:keepNext w:val="0"/>
        <w:keepLines w:val="0"/>
        <w:widowControl w:val="0"/>
        <w:shd w:val="clear" w:color="auto" w:fill="auto"/>
        <w:bidi w:val="0"/>
        <w:spacing w:before="0" w:after="280" w:line="240" w:lineRule="auto"/>
        <w:ind w:left="4340" w:right="0" w:firstLine="0"/>
        <w:jc w:val="both"/>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01.07.2024 по </w:t>
      </w:r>
      <w:r>
        <w:rPr>
          <w:spacing w:val="0"/>
          <w:w w:val="100"/>
          <w:position w:val="0"/>
          <w:shd w:val="clear" w:color="auto" w:fill="auto"/>
          <w:lang w:val="ru-RU" w:eastAsia="ru-RU" w:bidi="ru-RU"/>
        </w:rPr>
        <w:t>24.09.2025</w:t>
      </w:r>
    </w:p>
    <w:p>
      <w:pPr>
        <w:pStyle w:val="Style9"/>
        <w:keepNext w:val="0"/>
        <w:keepLines w:val="0"/>
        <w:widowControl w:val="0"/>
        <w:shd w:val="clear" w:color="auto" w:fill="auto"/>
        <w:bidi w:val="0"/>
        <w:spacing w:before="0" w:after="0" w:line="240" w:lineRule="auto"/>
        <w:ind w:left="0" w:right="0" w:firstLine="0"/>
        <w:jc w:val="right"/>
        <w:sectPr>
          <w:footnotePr>
            <w:pos w:val="pageBottom"/>
            <w:numFmt w:val="decimal"/>
            <w:numRestart w:val="continuous"/>
          </w:footnotePr>
          <w:type w:val="continuous"/>
          <w:pgSz w:w="11900" w:h="16840"/>
          <w:pgMar w:top="1087" w:right="534" w:bottom="1311" w:left="1103" w:header="0" w:footer="3" w:gutter="0"/>
          <w:cols w:space="720"/>
          <w:noEndnote/>
          <w:rtlGutter w:val="0"/>
          <w:docGrid w:linePitch="360"/>
        </w:sectPr>
      </w:pPr>
      <w:r>
        <w:drawing>
          <wp:anchor distT="0" distB="0" distL="114300" distR="1900555" simplePos="0" relativeHeight="125829385" behindDoc="0" locked="0" layoutInCell="1" allowOverlap="1">
            <wp:simplePos x="0" y="0"/>
            <wp:positionH relativeFrom="page">
              <wp:posOffset>3306445</wp:posOffset>
            </wp:positionH>
            <wp:positionV relativeFrom="paragraph">
              <wp:posOffset>38100</wp:posOffset>
            </wp:positionV>
            <wp:extent cx="353695" cy="53657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3763645</wp:posOffset>
                </wp:positionH>
                <wp:positionV relativeFrom="paragraph">
                  <wp:posOffset>437515</wp:posOffset>
                </wp:positionV>
                <wp:extent cx="1283335" cy="103505"/>
                <wp:wrapNone/>
                <wp:docPr id="25" name="Shape 2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96.35000000000002pt;margin-top:34.450000000000003pt;width:101.05pt;height:8.1500000000000004pt;z-index:251657737;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3721100</wp:posOffset>
                </wp:positionH>
                <wp:positionV relativeFrom="paragraph">
                  <wp:posOffset>126365</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3" type="#_x0000_t202" style="position:absolute;margin-left:293.pt;margin-top:9.9500000000000011pt;width:135.59999999999999pt;height:20.150000000000002pt;z-index:25165773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М.А. Пилипенко</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Исп.Кушнер Ж.В.тел.8(4212) 32 60 54</w:t>
      </w:r>
    </w:p>
    <w:p>
      <w:pPr>
        <w:spacing w:lineRule="exact" w:line="1"/>
        <w:rPr>
          <w:sz w:val="2"/>
          <w:szCs w:val="2"/>
        </w:rPr>
      </w:pPr>
      <w:r>
        <w:br w:type="column"/>
      </w:r>
    </w:p>
    <w:p>
      <w:pPr>
        <w:pStyle w:val="Style27"/>
        <w:keepNext w:val="0"/>
        <w:keepLines w:val="0"/>
        <w:widowControl w:val="0"/>
        <w:shd w:val="clear" w:color="auto" w:fill="auto"/>
        <w:bidi w:val="0"/>
        <w:spacing w:before="0" w:after="0" w:line="240" w:lineRule="auto"/>
        <w:ind w:left="0"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Пилипенко Мария Алексеевна</w:t>
      </w:r>
    </w:p>
    <w:p>
      <w:pPr>
        <w:pStyle w:val="Style27"/>
        <w:keepNext w:val="0"/>
        <w:keepLines w:val="0"/>
        <w:widowControl w:val="0"/>
        <w:shd w:val="clear" w:color="auto" w:fill="auto"/>
        <w:bidi w:val="0"/>
        <w:spacing w:before="0" w:after="0" w:line="240" w:lineRule="auto"/>
        <w:ind w:left="0" w:right="0" w:firstLine="0"/>
        <w:jc w:val="left"/>
      </w:pPr>
      <w:r>
        <w:rPr>
          <w:color w:val="48484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84848"/>
          <w:spacing w:val="0"/>
          <w:w w:val="100"/>
          <w:position w:val="0"/>
          <w:shd w:val="clear" w:color="auto" w:fill="auto"/>
          <w:lang w:val="ru-RU" w:eastAsia="ru-RU" w:bidi="ru-RU"/>
        </w:rPr>
        <w:t>4АЗЕ655ЕСА49Е804048Е50ВЕ33298660</w:t>
      </w:r>
    </w:p>
    <w:p>
      <w:pPr>
        <w:pStyle w:val="Style27"/>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105" w:right="3421" w:bottom="1105" w:left="1159" w:header="0" w:footer="3" w:gutter="0"/>
          <w:cols w:num="2" w:space="720" w:equalWidth="0">
            <w:col w:w="3605" w:space="461"/>
            <w:col w:w="3254"/>
          </w:cols>
          <w:noEndnote/>
          <w:rtlGutter w:val="0"/>
          <w:docGrid w:linePitch="360"/>
        </w:sectPr>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20.11.2023 по </w:t>
      </w:r>
      <w:r>
        <w:rPr>
          <w:color w:val="484848"/>
          <w:spacing w:val="0"/>
          <w:w w:val="100"/>
          <w:position w:val="0"/>
          <w:shd w:val="clear" w:color="auto" w:fill="auto"/>
          <w:lang w:val="ru-RU" w:eastAsia="ru-RU" w:bidi="ru-RU"/>
        </w:rPr>
        <w:t>12.02.2025</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2024-12874</w:t>
      </w:r>
    </w:p>
    <w:sectPr>
      <w:footerReference w:type="default" r:id="rId15"/>
      <w:footnotePr>
        <w:pos w:val="pageBottom"/>
        <w:numFmt w:val="decimal"/>
        <w:numRestart w:val="continuous"/>
      </w:footnotePr>
      <w:pgSz w:w="11900" w:h="16840"/>
      <w:pgMar w:top="15682" w:right="9587" w:bottom="616" w:left="1113" w:header="15254" w:footer="188"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10005060</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2024-12874</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7.80000000000007pt;width:509.5pt;height:8.15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2024-12874</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2024-12874</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2024-12874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6619B"/>
      <w:sz w:val="17"/>
      <w:szCs w:val="17"/>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Основной текст (4)_"/>
    <w:basedOn w:val="DefaultParagraphFont"/>
    <w:link w:val="Style14"/>
    <w:rPr>
      <w:rFonts w:ascii="Times New Roman" w:eastAsia="Times New Roman" w:hAnsi="Times New Roman" w:cs="Times New Roman"/>
      <w:b w:val="0"/>
      <w:bCs w:val="0"/>
      <w:i w:val="0"/>
      <w:iCs w:val="0"/>
      <w:smallCaps w:val="0"/>
      <w:strike w:val="0"/>
      <w:sz w:val="22"/>
      <w:szCs w:val="22"/>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292929"/>
      <w:sz w:val="12"/>
      <w:szCs w:val="12"/>
      <w:u w:val="none"/>
    </w:rPr>
  </w:style>
  <w:style w:type="character" w:customStyle="1" w:styleId="CharStyle23">
    <w:name w:val="Заголовок №1_"/>
    <w:basedOn w:val="DefaultParagraphFont"/>
    <w:link w:val="Style22"/>
    <w:rPr>
      <w:rFonts w:ascii="Times New Roman" w:eastAsia="Times New Roman" w:hAnsi="Times New Roman" w:cs="Times New Roman"/>
      <w:b/>
      <w:bCs/>
      <w:i w:val="0"/>
      <w:iCs w:val="0"/>
      <w:smallCaps w:val="0"/>
      <w:strike w:val="0"/>
      <w:sz w:val="28"/>
      <w:szCs w:val="28"/>
      <w:u w:val="none"/>
    </w:rPr>
  </w:style>
  <w:style w:type="character" w:customStyle="1" w:styleId="CharStyle25">
    <w:name w:val="Заголовок №2_"/>
    <w:basedOn w:val="DefaultParagraphFont"/>
    <w:link w:val="Style24"/>
    <w:rPr>
      <w:rFonts w:ascii="Times New Roman" w:eastAsia="Times New Roman" w:hAnsi="Times New Roman" w:cs="Times New Roman"/>
      <w:b w:val="0"/>
      <w:bCs w:val="0"/>
      <w:i w:val="0"/>
      <w:iCs w:val="0"/>
      <w:smallCaps w:val="0"/>
      <w:strike w:val="0"/>
      <w:sz w:val="28"/>
      <w:szCs w:val="28"/>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606060"/>
      <w:sz w:val="12"/>
      <w:szCs w:val="12"/>
      <w:u w:val="none"/>
    </w:rPr>
  </w:style>
  <w:style w:type="paragraph" w:customStyle="1" w:styleId="Style2">
    <w:name w:val="Основной текст (3)"/>
    <w:basedOn w:val="Normal"/>
    <w:link w:val="CharStyle3"/>
    <w:pPr>
      <w:widowControl w:val="0"/>
      <w:shd w:val="clear" w:color="auto" w:fill="auto"/>
      <w:spacing w:after="160" w:line="288" w:lineRule="auto"/>
      <w:jc w:val="center"/>
    </w:pPr>
    <w:rPr>
      <w:rFonts w:ascii="Times New Roman" w:eastAsia="Times New Roman" w:hAnsi="Times New Roman" w:cs="Times New Roman"/>
      <w:b/>
      <w:bCs/>
      <w:i w:val="0"/>
      <w:iCs w:val="0"/>
      <w:smallCaps w:val="0"/>
      <w:strike w:val="0"/>
      <w:color w:val="46619B"/>
      <w:sz w:val="17"/>
      <w:szCs w:val="17"/>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Основной текст (4)"/>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7">
    <w:name w:val="Подпись к картинке"/>
    <w:basedOn w:val="Normal"/>
    <w:link w:val="CharStyle1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92929"/>
      <w:sz w:val="12"/>
      <w:szCs w:val="12"/>
      <w:u w:val="none"/>
    </w:rPr>
  </w:style>
  <w:style w:type="paragraph" w:customStyle="1" w:styleId="Style22">
    <w:name w:val="Заголовок №1"/>
    <w:basedOn w:val="Normal"/>
    <w:link w:val="CharStyle23"/>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4">
    <w:name w:val="Заголовок №2"/>
    <w:basedOn w:val="Normal"/>
    <w:link w:val="CharStyle25"/>
    <w:pPr>
      <w:widowControl w:val="0"/>
      <w:shd w:val="clear" w:color="auto" w:fill="auto"/>
      <w:ind w:firstLine="720"/>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27">
    <w:name w:val="Основной текст (2)"/>
    <w:basedOn w:val="Normal"/>
    <w:link w:val="CharStyle28"/>
    <w:pPr>
      <w:widowControl w:val="0"/>
      <w:shd w:val="clear" w:color="auto" w:fill="auto"/>
      <w:ind w:left="4200"/>
    </w:pPr>
    <w:rPr>
      <w:rFonts w:ascii="Arial" w:eastAsia="Arial" w:hAnsi="Arial" w:cs="Arial"/>
      <w:b w:val="0"/>
      <w:bCs w:val="0"/>
      <w:i w:val="0"/>
      <w:iCs w:val="0"/>
      <w:smallCaps w:val="0"/>
      <w:strike w:val="0"/>
      <w:color w:val="60606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footer" Target="footer3.xml"/></Relationships>
</file>