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20"/>
          <w:szCs w:val="20"/>
        </w:rPr>
      </w:pPr>
      <w:r>
        <w:rPr>
          <w:b w:val="0"/>
          <w:bCs w:val="0"/>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 пр-т Мира, д. 10, оф. 53, г. Красноярск, 660049 адх_рпет@таП.ш;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 утЪеЬта сЬ@та11.ги</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КГБУЗ «Емельяновская районная больница» ул. Московская, д. 12, пгт. Емельяново, Емельяновский район, Красноярский край, 663020 хакопсгЬ@уапдех.ш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ООО «Медтехнологии Сибири» ул. Анатолия Гладкова, д. 4, офис 12-23, г. Красноярск, 660012 т1кгзк@уапдех.ги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 наб. Тараса Шевченко, д. 23-А, г. Москва, 121151 ко@118-1епдег.ш;</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868" w:bottom="1318" w:left="1140" w:header="0" w:footer="3" w:gutter="0"/>
          <w:pgNumType w:start="1"/>
          <w:cols w:num="2" w:space="720" w:equalWidth="0">
            <w:col w:w="4090" w:space="1176"/>
            <w:col w:w="4627"/>
          </w:cols>
          <w:noEndnote/>
          <w:titlePg/>
          <w:rtlGutter w:val="0"/>
          <w:docGrid w:linePitch="360"/>
        </w:sectPr>
      </w:pPr>
      <w:r>
        <w:rPr>
          <w:color w:val="000000"/>
          <w:spacing w:val="0"/>
          <w:w w:val="100"/>
          <w:position w:val="0"/>
          <w:sz w:val="24"/>
          <w:szCs w:val="24"/>
          <w:shd w:val="clear" w:color="auto" w:fill="auto"/>
          <w:lang w:val="ru-RU" w:eastAsia="ru-RU" w:bidi="ru-RU"/>
        </w:rPr>
        <w:t>тГо@1Д8-1епдег.ш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 w:after="1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60" w:right="0" w:bottom="1342"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№024/06/106-3345/2024</w:t>
      </w:r>
    </w:p>
    <w:p>
      <w:pPr>
        <w:pStyle w:val="Style13"/>
        <w:keepNext w:val="0"/>
        <w:keepLines w:val="0"/>
        <w:widowControl w:val="0"/>
        <w:shd w:val="clear" w:color="auto" w:fill="auto"/>
        <w:tabs>
          <w:tab w:pos="8784"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28 октября 2024 года</w:t>
        <w:tab/>
        <w:t>г. Красноярск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 врио начальника отдела, Е.М. Хоменко, специалист-эксперт, Е.С. Суслина (далее - Комиссия), рассмотрев жалобу общества с ограниченной ответственностью «Медтехнологии Сибири» (далее - податель жалобы) на действия аукционной комиссии уполномоченного органа - Агентства государственного заказа Красноярского края (далее — уполномоченный орган, аукционная комиссия) при проведении аукциона в электронной форме ЭА-№-17434/24 «Поставка модульных систем мониторинга состояния пациента - ЭЛЕКТРОКАРДИОГРАФОВ» (далее - аукцион), на электронной торговой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имеющего номер извещения 0119200000124016479.</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адреса подателя жалобы, заказчика — Краевого государственного бюджетного учреждения здравоохранения «Емельяновская районная больница» (далее — заказчик), </w:t>
      </w:r>
      <w:r>
        <w:rPr>
          <w:color w:val="000000"/>
          <w:spacing w:val="0"/>
          <w:w w:val="100"/>
          <w:position w:val="0"/>
          <w:sz w:val="24"/>
          <w:szCs w:val="24"/>
          <w:shd w:val="clear" w:color="auto" w:fill="auto"/>
          <w:lang w:val="ru-RU" w:eastAsia="ru-RU" w:bidi="ru-RU"/>
        </w:rPr>
        <w:t>аукционной комиссии уполномоченного органа, оператора электронной площадки было направлено уведомление (исх. № МД/17291/24 от 23.10.2024) о содержании жалобы с информацией о месте и времени ее рассмотрения (далее — Уведомление).</w:t>
      </w:r>
    </w:p>
    <w:p>
      <w:pPr>
        <w:widowControl w:val="0"/>
        <w:spacing w:line="1" w:lineRule="exact"/>
      </w:pPr>
      <w:r>
        <w:drawing>
          <wp:anchor distT="114300" distB="0" distL="0" distR="0" simplePos="0" relativeHeight="125829378" behindDoc="0" locked="0" layoutInCell="1" allowOverlap="1">
            <wp:simplePos x="0" y="0"/>
            <wp:positionH relativeFrom="page">
              <wp:posOffset>717550</wp:posOffset>
            </wp:positionH>
            <wp:positionV relativeFrom="paragraph">
              <wp:posOffset>114300</wp:posOffset>
            </wp:positionV>
            <wp:extent cx="1517650" cy="28638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8638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Заказчику, уполномоченному органу, аукционной комиссии,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 начала заседания Комиссии по рассмотрению жалобы по существу в адрес Красноярского УФАС России от заказчика поступило ходатайство о рассмотрении обращения в отсутствие представителя заказчика. От подателя жалобы также поступило ходатайство об участии в заседании Комиссии посредством видео-конференц связи. Указанные ходатайства были рассмотрены и удовлетворены.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заседании Комиссии по рассмотрению жалобы по существу, назначенном Уведомлением к проведению на 28.10.2024 в 16:30, приняли участие представители уполномоченного органа, представитель подателя жалобы посредством видео-конференц-связи, надлежащим образом подтвердившие свои личности и полномочия.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содержании жалобы указаны следующие доводы:</w:t>
      </w:r>
    </w:p>
    <w:p>
      <w:pPr>
        <w:pStyle w:val="Style13"/>
        <w:keepNext w:val="0"/>
        <w:keepLines w:val="0"/>
        <w:widowControl w:val="0"/>
        <w:numPr>
          <w:ilvl w:val="0"/>
          <w:numId w:val="1"/>
        </w:numPr>
        <w:shd w:val="clear" w:color="auto" w:fill="auto"/>
        <w:tabs>
          <w:tab w:pos="91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победитель закупки указал в заявке недостоверные сведения о соответствии предлагаемого товара - Электрокардиографа 3-6 канальный ЭКЗТЦ-З/6-04 «АКСИОН» - требованиям извещения, поскольку, по мнению подателя жалобы, предлагаемый к поставке товар не имеет возможности обеспечить полное аппаратное и программное взаимодействие с имеющимся у заказчика Программным обеспечением и оборудованием торговой марки «Валента», посредством чего ввел в заблуждение аукционную комиссию.</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аукционная комиссия при рассмотрении вторых частей заявок, в нарушение установленных в извещении требований пункта 8 части 12 статьи 48 Закона о контрактной системе, предусматривающего отклонение заявки в случае выявления недостоверной информации, не отклонила заявку победителя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заявка победителя содержала характеристики товара, удовлетворяющие требованиям извещения, а также, что Законом о контрактной системе аукционной комиссии не вменена обязанность при оценке заявок устанавливать степень достоверности сведений, предоставляемых участниками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связи с возникшей потребностью у заказчика уполномоченным органом были совершены действия по проведению электронного аукциона с установлением начальной (максимальной) цены контракта в размере 845 600,00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3"/>
        <w:keepNext w:val="0"/>
        <w:keepLines w:val="0"/>
        <w:widowControl w:val="0"/>
        <w:numPr>
          <w:ilvl w:val="0"/>
          <w:numId w:val="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объекта закупки в соответствии со статьей 33 настоящего Федерального закона;</w:t>
      </w:r>
    </w:p>
    <w:p>
      <w:pPr>
        <w:pStyle w:val="Style13"/>
        <w:keepNext w:val="0"/>
        <w:keepLines w:val="0"/>
        <w:widowControl w:val="0"/>
        <w:numPr>
          <w:ilvl w:val="0"/>
          <w:numId w:val="3"/>
        </w:numPr>
        <w:shd w:val="clear" w:color="auto" w:fill="auto"/>
        <w:tabs>
          <w:tab w:pos="1046" w:val="left"/>
        </w:tabs>
        <w:bidi w:val="0"/>
        <w:spacing w:before="0" w:after="0" w:line="240" w:lineRule="auto"/>
        <w:ind w:left="0" w:right="0" w:firstLine="740"/>
        <w:jc w:val="both"/>
        <w:sectPr>
          <w:footnotePr>
            <w:pos w:val="pageBottom"/>
            <w:numFmt w:val="decimal"/>
            <w:numRestart w:val="continuous"/>
          </w:footnotePr>
          <w:type w:val="continuous"/>
          <w:pgSz w:w="11900" w:h="16840"/>
          <w:pgMar w:top="460" w:right="541" w:bottom="1342"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Центральным банком Российской Федерации и используемого при оплате поставленного товара, выполненной работы, оказанной услуги;</w:t>
      </w:r>
    </w:p>
    <w:p>
      <w:pPr>
        <w:pStyle w:val="Style13"/>
        <w:keepNext w:val="0"/>
        <w:keepLines w:val="0"/>
        <w:widowControl w:val="0"/>
        <w:numPr>
          <w:ilvl w:val="0"/>
          <w:numId w:val="3"/>
        </w:numPr>
        <w:shd w:val="clear" w:color="auto" w:fill="auto"/>
        <w:tabs>
          <w:tab w:pos="104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порядок рассмотрения и оценки заявок на участие в конкурсах в соответствии с настоящим Федеральным законом;</w:t>
      </w:r>
    </w:p>
    <w:p>
      <w:pPr>
        <w:pStyle w:val="Style13"/>
        <w:keepNext w:val="0"/>
        <w:keepLines w:val="0"/>
        <w:widowControl w:val="0"/>
        <w:numPr>
          <w:ilvl w:val="0"/>
          <w:numId w:val="3"/>
        </w:numPr>
        <w:shd w:val="clear" w:color="auto" w:fill="auto"/>
        <w:tabs>
          <w:tab w:pos="10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проект контракта;</w:t>
      </w:r>
    </w:p>
    <w:p>
      <w:pPr>
        <w:pStyle w:val="Style13"/>
        <w:keepNext w:val="0"/>
        <w:keepLines w:val="0"/>
        <w:widowControl w:val="0"/>
        <w:numPr>
          <w:ilvl w:val="0"/>
          <w:numId w:val="3"/>
        </w:numPr>
        <w:shd w:val="clear" w:color="auto" w:fill="auto"/>
        <w:tabs>
          <w:tab w:pos="104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5"/>
        </w:numPr>
        <w:shd w:val="clear" w:color="auto" w:fill="auto"/>
        <w:tabs>
          <w:tab w:pos="9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3"/>
        <w:keepNext w:val="0"/>
        <w:keepLines w:val="0"/>
        <w:widowControl w:val="0"/>
        <w:numPr>
          <w:ilvl w:val="0"/>
          <w:numId w:val="5"/>
        </w:numPr>
        <w:shd w:val="clear" w:color="auto" w:fill="auto"/>
        <w:tabs>
          <w:tab w:pos="103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9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5"/>
        </w:numPr>
        <w:shd w:val="clear" w:color="auto" w:fill="auto"/>
        <w:tabs>
          <w:tab w:pos="91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9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медицинского оборудования (электрокардиограф), соответствующих позиции КТРУ 26.60.12.111-00000024.</w:t>
      </w:r>
    </w:p>
    <w:p>
      <w:pPr>
        <w:pStyle w:val="Style13"/>
        <w:keepNext w:val="0"/>
        <w:keepLines w:val="0"/>
        <w:widowControl w:val="0"/>
        <w:shd w:val="clear" w:color="auto" w:fill="auto"/>
        <w:bidi w:val="0"/>
        <w:spacing w:before="0" w:after="0" w:line="305" w:lineRule="auto"/>
        <w:ind w:left="0" w:right="0" w:firstLine="720"/>
        <w:jc w:val="both"/>
        <w:sectPr>
          <w:footerReference w:type="default" r:id="rId13"/>
          <w:footnotePr>
            <w:pos w:val="pageBottom"/>
            <w:numFmt w:val="decimal"/>
            <w:numRestart w:val="continuous"/>
          </w:footnotePr>
          <w:pgSz w:w="11900" w:h="16840"/>
          <w:pgMar w:top="1119" w:right="541" w:bottom="564" w:left="1106" w:header="691" w:footer="136"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пункту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2024-18483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было установлено, что извещение о проведении аукциона в электронной форме ЭА-№-17434/24 «Поставка модульных систем мониторинга состояния пациента - ЭЛЕКТРОКАРДИОГРАФОВ», имеющего номер извещения 0119200000124016479 была размещена в ЕИС 07.10.2024.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4 статьи 49 Закона о контрактной системе не позднее одного часа с момента завершения процедуры подачи ценовых предложений оператор электронной площадки:</w:t>
      </w:r>
    </w:p>
    <w:p>
      <w:pPr>
        <w:pStyle w:val="Style13"/>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Закона о контрактной системе), предложенных участником закупки, подавшим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части, присваиваются в порядке убывания цены контракта, суммы цен единиц товара, работы, услуги (в случае, предусмотренном частью 24 статьи 22 Закона о контрактной системе).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p>
      <w:pPr>
        <w:pStyle w:val="Style13"/>
        <w:keepNext w:val="0"/>
        <w:keepLines w:val="0"/>
        <w:widowControl w:val="0"/>
        <w:numPr>
          <w:ilvl w:val="0"/>
          <w:numId w:val="7"/>
        </w:numPr>
        <w:shd w:val="clear" w:color="auto" w:fill="auto"/>
        <w:tabs>
          <w:tab w:pos="18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формирует протокол подачи ценовых предложений, содержащий:</w:t>
      </w:r>
    </w:p>
    <w:p>
      <w:pPr>
        <w:pStyle w:val="Style13"/>
        <w:keepNext w:val="0"/>
        <w:keepLines w:val="0"/>
        <w:widowControl w:val="0"/>
        <w:numPr>
          <w:ilvl w:val="0"/>
          <w:numId w:val="9"/>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дату, время начала и окончания проведения процедуры подачи ценовых предложений;</w:t>
      </w:r>
    </w:p>
    <w:p>
      <w:pPr>
        <w:pStyle w:val="Style13"/>
        <w:keepNext w:val="0"/>
        <w:keepLines w:val="0"/>
        <w:widowControl w:val="0"/>
        <w:numPr>
          <w:ilvl w:val="0"/>
          <w:numId w:val="9"/>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минимальное ценовое предложение либо максимальное ценовое предложение (в случае, предусмотренном пунктом 9 части 3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Style13"/>
        <w:keepNext w:val="0"/>
        <w:keepLines w:val="0"/>
        <w:widowControl w:val="0"/>
        <w:numPr>
          <w:ilvl w:val="0"/>
          <w:numId w:val="9"/>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порядковые номера, присвоенные заявкам в соответствии с пунктом 1 настоящей части;</w:t>
      </w:r>
    </w:p>
    <w:p>
      <w:pPr>
        <w:pStyle w:val="Style13"/>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размещает протокол, предусмотренный пунктом 2 настоящей части, в единой информационной системе и на электронной площадке;</w:t>
      </w:r>
    </w:p>
    <w:p>
      <w:pPr>
        <w:pStyle w:val="Style13"/>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закупки, подавших такие заявки.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Проанализировав содержание заявок, поданных на участие в электронном аукционе, представленных оператором электронной площадки в адрес Красноярского УФАС России, Комиссия установила, что на участие в электронном аукционе было подано 2 (две) заявки.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11"/>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13"/>
        </w:numPr>
        <w:shd w:val="clear" w:color="auto" w:fill="auto"/>
        <w:tabs>
          <w:tab w:pos="3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рассматривают заявки на участие в закупке, информацию и документы, направленные </w:t>
      </w:r>
      <w:r>
        <w:rPr>
          <w:color w:val="000000"/>
          <w:spacing w:val="0"/>
          <w:w w:val="100"/>
          <w:position w:val="0"/>
          <w:sz w:val="24"/>
          <w:szCs w:val="24"/>
          <w:shd w:val="clear" w:color="auto" w:fill="auto"/>
          <w:lang w:val="ru-RU" w:eastAsia="ru-RU" w:bidi="ru-RU"/>
        </w:rPr>
        <w:t>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numPr>
          <w:ilvl w:val="0"/>
          <w:numId w:val="13"/>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15"/>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21.10.2024 № ИЭА1 аукционной комиссией были рассмотрены и признаны соответствующими требованиям, установленным в извещении о проведении электронного аукциона, все заявки, поданные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части 5 статьи 24 Закона о контрактной системе победителем электронного аукциона признан участник закупки с идентификационным номером заявки 1, заявке подателя жалобы был присвоен идентификационный номер 2.</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участник с идентификационным номером заявки 1 предложил к поставке товары с указанием характеристик и их показателей, предусмотренных в извещении о проведении электронного аукциона и им соответствующим.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отношении доводов подателя жалобы о предоставлении недостоверных сведений победителем закупки относительно возможности предлагаемого в составе заявки товара - Электрокардиографа 3-6 канальный ЭКЗТЦ-З/6-04 «АКСИОН» - осуществить полное аппаратное и программное взаимодействие с имеющимся у заказчика Программным обеспечением и оборудованием торговой марки «Валента», Комиссия полагает необходимым отметить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содержанию заявки на участие в закупке предусмотрены частями 1, 2 статьи 43 Закона о контрактной системе, при этом перечень указанных требований является исчерпывающим в силу части 3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пункта 3.1.7. проекта контракта, на которое ссылается податель жалобы, не относится к характеристикам товара, а является условием исполнения контракта, в частности условием оказания услуг по вводу в эксплуатацию приобретаемого оборудования, предъявляются к исполнителю контракта и не фигурируют в описании объекта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Данный вывод также находит отражение в решениях Красноярского УФАС России №024/06/106-1955/2024 от 27.06.2024, №024/06/106-3096/2024 от 08.10.2024, №024/06/106- 1955/2024 от 27.06.2024, №024/06/106-2275/2024 от 24.07.2024.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требование, закрепленное в пункте пункта 3.1.7. проекта контракта, не содержится в описании объекта закупки (ни в структурированной форме извещения электронного аукциона, ни в электронном документе).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требования действующего законодательства о контрактной системе в сфере закупок не обязывают участника закупки предоставлять какие-либо документы, гарантирующие возможность исполнения обязательств по контракту, при наличии обязанности предоставить конкретные показатели тех характеристик предлагаемого к поставке товара в соответствии с требованиями извещения об электронном аукционе, что было выполнено победителем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аукционная комиссия не обладает полномочиями направлять запросы участникам закупки с целью получения от них дополнительных документов, подтверждающих достоверность предлагаемой участником закупки в составе заявки информации, что прямо противоречит части 1 статьи 46 Закона о контрактной системе, устанавливающей запрет на проведение переговоров членами комиссий по осуществлению закупок с участником закупки в отношении заявок на участие в определении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аукционной комиссии не вменена законодательная обязанность при проведении конкурентной процедуры в рамках рассмотрения заявок, поданных на участие в такой процедуре, осуществлять дополнительные проверочные мероприятия в целях установления степени достоверности характеристик предложенного к поставке товара в поданных ими заявках, в сопоставлении сведений из таких заявок с размещенными Федеральной службой по надзору в сфере здравоохранения сведениями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таких обстоятельствах, основания не доверять информации, представленной участником закупки с идентификационным номером заявки 1, у аукционной комиссии на момент рассмотрения заявок на предмет соответствия требованиям извещения о проведении электронного аукциона не имелись.</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Указанные выводы Комиссии относительно полномочий аукционной комиссии находят свое подтверждение в судебной практике по делам №№ А05-6096/2022, А58-4915/2023, А33-4002/2023, А33-549/2024.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позиции Верховного Суда Российской Федерации, отраженной в Определении от 17.06.2020 № 310-ЭС19-26526, недостоверной информацией следует считать информацию, не соответствующую действительности, предоставленной с обманом и умыслом, направленным на победу в торгах за счет представления ложной информации. При этом, из представленных в материалы проверки документов с очевидностью не усматривается, что победитель закупки представил в составе заявки какую-либо недостоверную информацию в отношении предложенного им к поставке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Ссылка подателя жалобы на письмо ООО «Компания Нео» от 21.10.2024 о несовместимости и невозможности использования ПО «Валента» с указанным в запросе победителя аукциона товаром (Электрокардиограф 3-6 канальный ЭКЗТЦ-З/6-04 «АКСИОН») не свидетельствует о неправомерности действий аукционной комиссии при проведении процедуры рассмотрения заявок на предмет соответствия требованиям извещения о проведении электронного аукциона, поскольку аукционная комиссия на момент рассмотрения заявок на предмет соответствия требованиям извещения о проведении электронного аукциона указанной информацией не располагала.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Проанализировав совокупность положений извещения о проведении электронного аукциона, содержания заявок, поданных на участие в электронном аукционе, протокола подведения итогов определения поставщика (подрядчика, исполнителя) от 21.10.2024 № ИЭА1, Комиссия пришла к выводу о том, что при рассмотрении заявок на участие в электронном аукционе аукционной комиссией не было допущено нарушений требований Закона о контрактной системе, поскольку у аукционной комиссии отсутствовали основания для признания сведений, содержащихся в составе заявки участника закупки с идентификационным номером заявки 1, недо стоверными.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Более того, для отстранения участника закупки на основании положения пункта 8 части 12 статьи 48 Закона о контратакой системе недостоверность соответствующей информации должна </w:t>
      </w:r>
      <w:r>
        <w:rPr>
          <w:color w:val="000000"/>
          <w:spacing w:val="0"/>
          <w:w w:val="100"/>
          <w:position w:val="0"/>
          <w:sz w:val="24"/>
          <w:szCs w:val="24"/>
          <w:shd w:val="clear" w:color="auto" w:fill="auto"/>
          <w:lang w:val="ru-RU" w:eastAsia="ru-RU" w:bidi="ru-RU"/>
        </w:rPr>
        <w:t>быть подтверждена надлежащим образом. Аналогичная по своему правовому содержанию позиция зафиксирована в письме ФАС России от 20.08.2021№ ПИ/69938/21.</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Учитывая изложенное, Комиссия приходит к выводу о том, что заявленные подателем жалобы доводы не находят своего подтверждения.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случае, если податель жалобы обладает доказательствами, свидетельствующими о наличии признаков нарушения Федерального закона от 26.07.2006 № 135-ФЗ «О защите конкуренции» (далее - Закон о защите конкуренции) в действиях участников закупок, в том числе по предоставлению недостоверных сведений при осуществлении закупочных процедур,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«Медтехнологии Сибири» необоснованной.</w:t>
      </w:r>
    </w:p>
    <w:p>
      <w:pPr>
        <w:pStyle w:val="Style13"/>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62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62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Е.М. Хоменко</w:t>
      </w:r>
    </w:p>
    <w:p>
      <w:pPr>
        <w:pStyle w:val="Style13"/>
        <w:keepNext w:val="0"/>
        <w:keepLines w:val="0"/>
        <w:widowControl w:val="0"/>
        <w:shd w:val="clear" w:color="auto" w:fill="auto"/>
        <w:bidi w:val="0"/>
        <w:spacing w:before="0" w:after="7420" w:line="240" w:lineRule="auto"/>
        <w:ind w:left="0" w:right="0" w:firstLine="0"/>
        <w:jc w:val="right"/>
      </w:pPr>
      <w:r>
        <w:rPr>
          <w:color w:val="000000"/>
          <w:spacing w:val="0"/>
          <w:w w:val="100"/>
          <w:position w:val="0"/>
          <w:sz w:val="24"/>
          <w:szCs w:val="24"/>
          <w:shd w:val="clear" w:color="auto" w:fill="auto"/>
          <w:lang w:val="ru-RU" w:eastAsia="ru-RU" w:bidi="ru-RU"/>
        </w:rPr>
        <w:t>Е.С. Суслина</w:t>
      </w:r>
    </w:p>
    <w:p>
      <w:pPr>
        <w:pStyle w:val="Style8"/>
        <w:keepNext w:val="0"/>
        <w:keepLines w:val="0"/>
        <w:widowControl w:val="0"/>
        <w:shd w:val="clear" w:color="auto" w:fill="auto"/>
        <w:bidi w:val="0"/>
        <w:spacing w:before="0" w:after="24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Исп.Суслина Е.С. тел.211-01-44</w:t>
      </w:r>
    </w:p>
    <w:sectPr>
      <w:footerReference w:type="default" r:id="rId14"/>
      <w:footnotePr>
        <w:pos w:val="pageBottom"/>
        <w:numFmt w:val="decimal"/>
        <w:numRestart w:val="continuous"/>
      </w:footnotePr>
      <w:pgSz w:w="11900" w:h="16840"/>
      <w:pgMar w:top="1092" w:right="535" w:bottom="1139" w:left="1103" w:header="66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10033635</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2024-18483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90.05000000000007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2024-18483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5" name="Shape 5"/>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2024-18483</w:t>
                          </w:r>
                        </w:p>
                      </w:txbxContent>
                    </wps:txbx>
                    <wps:bodyPr wrap="none" lIns="0" tIns="0" rIns="0" bIns="0">
                      <a:spAutoFit/>
                    </wps:bodyPr>
                  </wps:wsp>
                </a:graphicData>
              </a:graphic>
            </wp:anchor>
          </w:drawing>
        </mc:Choice>
        <mc:Fallback>
          <w:pict>
            <v:shape id="_x0000_s1031"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2024-18483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10033635</wp:posOffset>
              </wp:positionV>
              <wp:extent cx="716280" cy="100330"/>
              <wp:wrapNone/>
              <wp:docPr id="9" name="Shape 9"/>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2024-18483</w:t>
                          </w:r>
                        </w:p>
                      </w:txbxContent>
                    </wps:txbx>
                    <wps:bodyPr wrap="none" lIns="0" tIns="0" rIns="0" bIns="0">
                      <a:spAutoFit/>
                    </wps:bodyPr>
                  </wps:wsp>
                </a:graphicData>
              </a:graphic>
            </wp:anchor>
          </w:drawing>
        </mc:Choice>
        <mc:Fallback>
          <w:pict>
            <v:shape id="_x0000_s1035" type="#_x0000_t202" style="position:absolute;margin-left:57.pt;margin-top:790.05000000000007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2024-18483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21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footer" Target="footer3.xml"/><Relationship Id="rId14" Type="http://schemas.openxmlformats.org/officeDocument/2006/relationships/footer" Target="footer4.xml"/></Relationships>
</file>