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10"/>
        <w:keepNext w:val="0"/>
        <w:keepLines w:val="0"/>
        <w:widowControl w:val="0"/>
        <w:shd w:val="clear" w:color="auto" w:fill="auto"/>
        <w:tabs>
          <w:tab w:pos="1838" w:val="left"/>
        </w:tabs>
        <w:bidi w:val="0"/>
        <w:spacing w:before="0"/>
        <w:ind w:left="0" w:right="0" w:firstLine="0"/>
        <w:jc w:val="center"/>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ОД/6310/2</w:t>
      </w:r>
      <w:r>
        <w:rPr>
          <w:color w:val="000000"/>
          <w:spacing w:val="0"/>
          <w:w w:val="100"/>
          <w:position w:val="0"/>
          <w:u w:val="none"/>
          <w:shd w:val="clear" w:color="auto" w:fill="auto"/>
          <w:lang w:val="ru-RU" w:eastAsia="ru-RU" w:bidi="ru-RU"/>
        </w:rPr>
        <w:t>4</w:t>
      </w:r>
    </w:p>
    <w:p>
      <w:pPr>
        <w:pStyle w:val="Style8"/>
        <w:keepNext w:val="0"/>
        <w:keepLines w:val="0"/>
        <w:widowControl w:val="0"/>
        <w:shd w:val="clear" w:color="auto" w:fill="auto"/>
        <w:bidi w:val="0"/>
        <w:spacing w:before="0" w:after="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380" w:right="0" w:firstLine="0"/>
        <w:jc w:val="righ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8"/>
        <w:keepNext w:val="0"/>
        <w:keepLines w:val="0"/>
        <w:widowControl w:val="0"/>
        <w:shd w:val="clear" w:color="auto" w:fill="auto"/>
        <w:bidi w:val="0"/>
        <w:spacing w:before="0" w:after="0" w:line="259" w:lineRule="auto"/>
        <w:ind w:left="380" w:right="0" w:firstLine="0"/>
        <w:jc w:val="right"/>
      </w:pPr>
      <w:r>
        <w:rPr>
          <w:spacing w:val="0"/>
          <w:w w:val="100"/>
          <w:position w:val="0"/>
          <w:shd w:val="clear" w:color="auto" w:fill="auto"/>
          <w:lang w:val="ru-RU" w:eastAsia="ru-RU" w:bidi="ru-RU"/>
        </w:rPr>
        <w:t>Федеральной антимонопольной службалбн Коми Республиками</w:t>
      </w:r>
    </w:p>
    <w:p>
      <w:pPr>
        <w:pStyle w:val="Style8"/>
        <w:keepNext w:val="0"/>
        <w:keepLines w:val="0"/>
        <w:widowControl w:val="0"/>
        <w:shd w:val="clear" w:color="auto" w:fill="auto"/>
        <w:bidi w:val="0"/>
        <w:spacing w:before="0" w:after="260" w:line="259" w:lineRule="auto"/>
        <w:ind w:left="1840" w:right="0" w:firstLine="0"/>
        <w:jc w:val="left"/>
      </w:pPr>
      <w:r>
        <w:rPr>
          <w:spacing w:val="0"/>
          <w:w w:val="100"/>
          <w:position w:val="0"/>
          <w:shd w:val="clear" w:color="auto" w:fill="auto"/>
          <w:lang w:val="ru-RU" w:eastAsia="ru-RU" w:bidi="ru-RU"/>
        </w:rPr>
        <w:t>ВЕСЬКОДЛАНШ</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е-таП: 1о11@Га8.§оу.ги</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Заявитель:</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Общество с ограниченной ответственностью</w:t>
      </w:r>
    </w:p>
    <w:p>
      <w:pPr>
        <w:pStyle w:val="Style14"/>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23" w:right="1635" w:bottom="1317" w:left="1111" w:header="0" w:footer="3" w:gutter="0"/>
          <w:pgNumType w:start="1"/>
          <w:cols w:num="2" w:space="741"/>
          <w:noEndnote/>
          <w:titlePg/>
          <w:rtlGutter w:val="0"/>
          <w:docGrid w:linePitch="360"/>
        </w:sectPr>
      </w:pPr>
      <w:r>
        <w:rPr>
          <w:b/>
          <w:bCs/>
          <w:color w:val="000000"/>
          <w:spacing w:val="0"/>
          <w:w w:val="100"/>
          <w:position w:val="0"/>
          <w:shd w:val="clear" w:color="auto" w:fill="auto"/>
          <w:lang w:val="ru-RU" w:eastAsia="ru-RU" w:bidi="ru-RU"/>
        </w:rPr>
        <w:t>«Энергия»</w:t>
      </w:r>
    </w:p>
    <w:p>
      <w:pPr>
        <w:widowControl w:val="0"/>
        <w:spacing w:line="16" w:lineRule="exact"/>
        <w:rPr>
          <w:sz w:val="2"/>
          <w:szCs w:val="2"/>
        </w:rPr>
      </w:pPr>
    </w:p>
    <w:p>
      <w:pPr>
        <w:widowControl w:val="0"/>
        <w:spacing w:line="1" w:lineRule="exact"/>
        <w:sectPr>
          <w:footnotePr>
            <w:pos w:val="pageBottom"/>
            <w:numFmt w:val="decimal"/>
            <w:numRestart w:val="continuous"/>
          </w:footnotePr>
          <w:type w:val="continuous"/>
          <w:pgSz w:w="11900" w:h="16840"/>
          <w:pgMar w:top="1135" w:right="0" w:bottom="974"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9" behindDoc="0" locked="0" layoutInCell="1" allowOverlap="1">
                <wp:simplePos x="0" y="0"/>
                <wp:positionH relativeFrom="page">
                  <wp:posOffset>735965</wp:posOffset>
                </wp:positionH>
                <wp:positionV relativeFrom="paragraph">
                  <wp:posOffset>12700</wp:posOffset>
                </wp:positionV>
                <wp:extent cx="673735" cy="234950"/>
                <wp:wrapSquare wrapText="right"/>
                <wp:docPr id="9" name="Shape 9"/>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5" type="#_x0000_t202" style="position:absolute;margin-left:57.950000000000003pt;margin-top:1.pt;width:53.050000000000004pt;height:18.5pt;z-index:-125829374;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side="right" anchorx="page"/>
              </v:shape>
            </w:pict>
          </mc:Fallback>
        </mc:AlternateContent>
      </w:r>
      <w:r>
        <w:drawing>
          <wp:anchor distT="50800" distB="0" distL="114300" distR="114300" simplePos="0" relativeHeight="125829381" behindDoc="0" locked="0" layoutInCell="1" allowOverlap="1">
            <wp:simplePos x="0" y="0"/>
            <wp:positionH relativeFrom="page">
              <wp:posOffset>717550</wp:posOffset>
            </wp:positionH>
            <wp:positionV relativeFrom="paragraph">
              <wp:posOffset>6610985</wp:posOffset>
            </wp:positionV>
            <wp:extent cx="1517650" cy="28638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517650" cy="286385"/>
                    </a:xfrm>
                    <a:prstGeom prst="rect"/>
                  </pic:spPr>
                </pic:pic>
              </a:graphicData>
            </a:graphic>
          </wp:anchor>
        </w:drawing>
      </w:r>
    </w:p>
    <w:p>
      <w:pPr>
        <w:pStyle w:val="Style14"/>
        <w:keepNext w:val="0"/>
        <w:keepLines w:val="0"/>
        <w:widowControl w:val="0"/>
        <w:shd w:val="clear" w:color="auto" w:fill="auto"/>
        <w:bidi w:val="0"/>
        <w:spacing w:before="0" w:after="260" w:line="240" w:lineRule="auto"/>
        <w:ind w:left="37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Заказчик:</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Государственное учреждение «Коми республиканский</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клинический онкологический диспансер»</w:t>
      </w:r>
    </w:p>
    <w:p>
      <w:pPr>
        <w:pStyle w:val="Style14"/>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Уполномоченное учреждение:</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Государственное казенное учреждение</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Республики Коми</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«Центр обеспечения организации и проведения торгов»</w:t>
      </w:r>
    </w:p>
    <w:p>
      <w:pPr>
        <w:pStyle w:val="Style14"/>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Акционерное общество «Сбербанк-АСТ»</w:t>
      </w:r>
    </w:p>
    <w:p>
      <w:pPr>
        <w:pStyle w:val="Style14"/>
        <w:keepNext w:val="0"/>
        <w:keepLines w:val="0"/>
        <w:widowControl w:val="0"/>
        <w:shd w:val="clear" w:color="auto" w:fill="auto"/>
        <w:bidi w:val="0"/>
        <w:spacing w:before="0" w:after="6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21"/>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по жалобе № 011/06/31-991/2024</w:t>
      </w:r>
    </w:p>
    <w:p>
      <w:pPr>
        <w:pStyle w:val="Style14"/>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6249670</wp:posOffset>
                </wp:positionH>
                <wp:positionV relativeFrom="paragraph">
                  <wp:posOffset>12700</wp:posOffset>
                </wp:positionV>
                <wp:extent cx="951230" cy="234950"/>
                <wp:wrapSquare wrapText="left"/>
                <wp:docPr id="13" name="Shape 13"/>
                <a:graphic xmlns:a="http://schemas.openxmlformats.org/drawingml/2006/main">
                  <a:graphicData uri="http://schemas.microsoft.com/office/word/2010/wordprocessingShape">
                    <wps:wsp>
                      <wps:cNvSpPr txBox="1"/>
                      <wps:spPr>
                        <a:xfrm>
                          <a:ext cx="95123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9" type="#_x0000_t202" style="position:absolute;margin-left:492.10000000000002pt;margin-top:1.pt;width:74.900000000000006pt;height:18.5pt;z-index:-125829371;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29 октября 2024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Мокиенко А.А. - специалиста-эксперта отдела контроля закупок управления, члена Комиссии; Растегаевой А.Д. - специалиста-эксперта отдела контроля закупок </w:t>
      </w:r>
      <w:r>
        <w:rPr>
          <w:color w:val="000000"/>
          <w:spacing w:val="0"/>
          <w:w w:val="100"/>
          <w:position w:val="0"/>
          <w:shd w:val="clear" w:color="auto" w:fill="auto"/>
          <w:lang w:val="ru-RU" w:eastAsia="ru-RU" w:bidi="ru-RU"/>
        </w:rPr>
        <w:t>управления, члена Комиссии (далее - Комиссия Коми УФАС России), рассмотрев жалобу общества с ограниченной ответственностью «Энергия» (630005, Новосибирская обл., г. Новосибирск, ул. Некрасова, 3Д. 48, этаж 3, офис 307; ОГРН: 1215400028249; ИНН: 5406813817; КПП: 540601001) (далее - ООО «Энергия») от 22.10.2024 (вх. от 22.10.2024 № 10103/24) на действия заказчика - государственного учреждения «Коми республиканский клинический онкологический диспансер» (167904, Республика Коми, г. Сыктывкар, Нювчимское шоссе, д. 46; ОГРН: 1021100517712; ИНН: 1101487150; КПП: 110101001) (далее - ГУ «КРКОД») при проведении закупки путем проведения электронного аукциона «Оказание услуг по выводу из эксплуатации и разрядке гамма-терапевтического аппарата 'ПктаЦоп Ецшпох для нужд Государственного учреждения «Коми республиканский клинический онкологический диспансер», извещение № 0307200030624002244 (далее - жалоба),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w:t>
      </w:r>
    </w:p>
    <w:p>
      <w:pPr>
        <w:pStyle w:val="Style14"/>
        <w:keepNext w:val="0"/>
        <w:keepLines w:val="0"/>
        <w:widowControl w:val="0"/>
        <w:numPr>
          <w:ilvl w:val="0"/>
          <w:numId w:val="1"/>
        </w:numPr>
        <w:shd w:val="clear" w:color="auto" w:fill="auto"/>
        <w:tabs>
          <w:tab w:pos="98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Канева И.А. - представителя ГУ «КРКОД» по доверенности от 10.06.2024;</w:t>
      </w:r>
    </w:p>
    <w:p>
      <w:pPr>
        <w:pStyle w:val="Style14"/>
        <w:keepNext w:val="0"/>
        <w:keepLines w:val="0"/>
        <w:widowControl w:val="0"/>
        <w:numPr>
          <w:ilvl w:val="0"/>
          <w:numId w:val="1"/>
        </w:numPr>
        <w:shd w:val="clear" w:color="auto" w:fill="auto"/>
        <w:tabs>
          <w:tab w:pos="98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Ивченко А.А. - представителя ГУ «КРКОД» по доверенности от 01.02.2024;</w:t>
      </w:r>
    </w:p>
    <w:p>
      <w:pPr>
        <w:pStyle w:val="Style14"/>
        <w:keepNext w:val="0"/>
        <w:keepLines w:val="0"/>
        <w:widowControl w:val="0"/>
        <w:numPr>
          <w:ilvl w:val="0"/>
          <w:numId w:val="1"/>
        </w:numPr>
        <w:shd w:val="clear" w:color="auto" w:fill="auto"/>
        <w:tabs>
          <w:tab w:pos="955"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Лейбовой Т.И. - представителя государственного казенного учреждения Республики Коми «Центр обеспечения организации и поведения торгов» (далее - ГКУ РК «ЦООиПТ») по доверенности от 16.01.2024 № 9,</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«Энергия» от 22.10.2024 (вх. от 22.10.204 № 10103/24) на действия заказчика - ГУ «КРКОД» при проведении закупки путем проведения электронного аукциона «Оказание услуг по выводу из эксплуатации и разрядке гамма-терапевтического аппарата 'ПктаЦоп Ецшпох для нужд Государственного учреждения «Коми республиканский клинический онкологический диспансер», извещение № 030720003062400244 (далее - закупка, электронный аукцион).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связи с чем, принята Коми УФАС России к рассмотрению.</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«Энергия», ГУ «КРКОД», ГКУ РК «ЦООиПТ», акционерное общество «Сбербанк-АСТ» (далее - оператор электронной площадки) надлежащим образом о времени и месте рассмотрения жалобы извещены посредством электронной почты.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ГУ «КРКОД» письмом от 25.10.2024 № 3212 (вх. от 28.10.2024 № 10249/24) представлен отзыв на жалобу и документы, необходимые для рассмотрения жалобы.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ГКУ РК «ЦООиПТ» письмом от 28.10.2024 № 09-02/62 (вх. от 28.10.2024 № 10281/24), от 28.10.2024 (вх. от 28.10.2024 № 10283-ЭП/24) представлен отзыв на жалобу и документы, необходимые для рассмотрения жалобы.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Оператором электронной площадки письмом от 24.10.2024 (вх. от 25.10.2024 № 10190-ЭП/24) в материалы жалобы представлены заявки на участие в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«Энергия» обжалованы действия заказчика при формировании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По мнению заявителя, установление в извещении об осуществлении закупки </w:t>
      </w:r>
      <w:r>
        <w:rPr>
          <w:color w:val="000000"/>
          <w:spacing w:val="0"/>
          <w:w w:val="100"/>
          <w:position w:val="0"/>
          <w:shd w:val="clear" w:color="auto" w:fill="auto"/>
          <w:lang w:val="ru-RU" w:eastAsia="ru-RU" w:bidi="ru-RU"/>
        </w:rPr>
        <w:t>требования о предоставлении в составе заявки на участие в закупке о наличии действующей лицензии Федеральной службы по экологическому, технологическому и атомному надзору на право проектирования и конструирования радиационных отходов противоречит действующему законодательству Российской Федерации, является избыточным и искусственно ограничивающим круг участников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«Энергия» в обоснование своих доводов ссылается на позицию Президиума Верховного Суда Российской Федерации, отраженной в пункте 7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 а также на письмо Федеральной антимонопольной службы Российской Федерации от 28.09.2017 № РП/66917/17, касающееся требования об установлении в извещении об осуществлении закупки о наличии членства в саморегулируемой организации.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в ходе рассмотрения жалобы, проведения внеплановой проверки осуществления закупки в соответствии с пунктом 1 части 15 статьи 99 Закона о контрактной системе, изучив представленные материалы, заслушав представителей сторон, пришла к нижеследующим выводам.</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11.10.2024 уполномоченным учреждением - ГКУ РК «ЦООиПТ» на официальном сайте Единой информационной системы в сфере закупок - \у\у\у./акирк1.доу.ги (далее - официальный сайт, ЕИС) размещено извещение о проведении электронного аукциона для закупки № 0307200030624002244.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закупки явилось - ГУ «КРКОД».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 «Оказание услуг по выводу из эксплуатации и разрядке гамма- терапевтического аппарата ТЪегаЦоп Есцппох для нужд Государственного учреждения «Коми республиканский клинический онкологический диспансер».</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9 262 000,00 руб.</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- 23.10.2024 07:00.</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- 23.10.2024.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подведения определения поставщика (подрядчика, исполнителя) - 25.10.2024.</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силу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Конкуренция при осуществлении закупок должна быть основана на соблюдении </w:t>
      </w:r>
      <w:r>
        <w:rPr>
          <w:color w:val="000000"/>
          <w:spacing w:val="0"/>
          <w:w w:val="100"/>
          <w:position w:val="0"/>
          <w:shd w:val="clear" w:color="auto" w:fill="auto"/>
          <w:lang w:val="ru-RU" w:eastAsia="ru-RU" w:bidi="ru-RU"/>
        </w:rPr>
        <w:t>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12 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части 2 статьи 24 Закона о контрактной системе, в том числе аукцион в электронной форме.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пунктов 1, 2 части 1, части 2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pPr>
        <w:pStyle w:val="Style14"/>
        <w:keepNext w:val="0"/>
        <w:keepLines w:val="0"/>
        <w:widowControl w:val="0"/>
        <w:numPr>
          <w:ilvl w:val="0"/>
          <w:numId w:val="3"/>
        </w:numPr>
        <w:shd w:val="clear" w:color="auto" w:fill="auto"/>
        <w:tabs>
          <w:tab w:pos="11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3"/>
        </w:numPr>
        <w:shd w:val="clear" w:color="auto" w:fill="auto"/>
        <w:tabs>
          <w:tab w:pos="11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w:t>
      </w:r>
      <w:r>
        <w:rPr>
          <w:color w:val="000000"/>
          <w:spacing w:val="0"/>
          <w:w w:val="100"/>
          <w:position w:val="0"/>
          <w:shd w:val="clear" w:color="auto" w:fill="auto"/>
          <w:lang w:val="ru-RU" w:eastAsia="ru-RU" w:bidi="ru-RU"/>
        </w:rPr>
        <w:t>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описанию объекта закупки, заказчиком закупаются услуги по выводу из эксплуатации и разрядке гамма-терапевтического аппарат Т11ега1гоп Ес]шпох для нужд ГУ «КРКОД».</w:t>
      </w:r>
    </w:p>
    <w:p>
      <w:pPr>
        <w:pStyle w:val="Style14"/>
        <w:keepNext w:val="0"/>
        <w:keepLines w:val="0"/>
        <w:widowControl w:val="0"/>
        <w:numPr>
          <w:ilvl w:val="1"/>
          <w:numId w:val="3"/>
        </w:numPr>
        <w:shd w:val="clear" w:color="auto" w:fill="auto"/>
        <w:tabs>
          <w:tab w:pos="126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17 части 1 статьи 12 Федерального закона от 04.05.2011 № 99-ФЗ «О лицензировании отдельных видов деятельности» деятельность по техническому обслуживанию медицинских изделий подлежит лицензированию.</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части 1 статьи 48.1 Градостроительного кодекса Российской Федерации к особо опасным и технически сложным объектам относятся объекты использования атомной энергии в соответствии с законодательством Российской Федерации об использовании атомной энергии.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статье 3 Федерального закона от 21.11.1995 № 170-ФЗ «Об использовании атомной энергии» радиоактивными отходами являются не подлежащие дальнейшему </w:t>
      </w:r>
      <w:r>
        <w:rPr>
          <w:color w:val="000000"/>
          <w:spacing w:val="0"/>
          <w:w w:val="100"/>
          <w:position w:val="0"/>
          <w:shd w:val="clear" w:color="auto" w:fill="auto"/>
          <w:lang w:val="ru-RU" w:eastAsia="ru-RU" w:bidi="ru-RU"/>
        </w:rPr>
        <w:t>использованию материалы и вещества, а также оборудование, изделия (в том числе отработавшие источники ионизирующего излучения), содержание радионуклидов в которых превышает уровни, установленные в соответствии с критериями, установленными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Отнесение указанных в части первой настоящей статьи объектов к перечисленным категориям, состав и границы указанных объектов определяются в зависимости от категории объекта организациями, осуществляющими деятельность в области использования атомной энергии, в порядке, установленном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статье 26 Федерального закона от 21.11.1995 № 170-ФЗ «Об использовании атомной энергии» под разрешением (лицензией) на право ведения работ в области использования атомной энергии понимается надлежаще оформленный документ, подтверждающий право на осуществление определенного вида деятельности при условии обеспечения безопасности объектов использования атомной энергии и проводимых работ.</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Лицензированию подлежат виды деятельности в области использования атомной энергии - размещение, сооружение, эксплуатация и вывод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закрытие пунктов захоронения радиоактивных отходов, обращение с ядерными материалами и радиоактивными веществами, в том числе при разведке и добыче урановых руд, при производстве, использовании, переработке, транспортировании и хранении ядерных материалов и радиоактивных веществ, обращение с радиоактивными отходами при их хранении, переработке, транспортировании и захоронении, использование ядерных материалов и (или) радиоактивных веществ при проведении научно-исследовательских и опытно</w:t>
        <w:softHyphen/>
        <w:t>конструкторских работ,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проведение экспертизы безопасности (экспертизы обоснования безопасности) объектов использования атомной энергии и (или) видов деятельности в области использования атомной энергии.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Любая деятельность в области использования атомной энергии, подлежащая лицензированию органами государственного регулирования безопасности, не допускается без наличия разрешения (лицензии) на ее проведение.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пункте 2 Требований к содержанию, составу заявки на участие в электронном аукционе и инструкции по ее заполнению указано, что документом, подтверждающим соответствие участника закупки требованиям, установленным пунктом 1 части 1 статьи 31 Закона о контрактной системе, наряду с прочим, является лицензия Федеральной службы по экологическому, технологическому и атомному надзору на право проектирования и конструирования радиационных источников.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Указанные лицензии могут быть предоставлены в виде выписки из реестра лицензий, либо в виде копии акта лицензирующего органа о принятом решении, либо в виде информации о реквизитах выданной лицензии (с указанием номера и даты предоставления лицензии).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Как пояснено ГУ «КРКОД» в письменных пояснениях от 25.10.2024 № 3212 (вх. от </w:t>
      </w:r>
      <w:r>
        <w:rPr>
          <w:color w:val="000000"/>
          <w:spacing w:val="0"/>
          <w:w w:val="100"/>
          <w:position w:val="0"/>
          <w:shd w:val="clear" w:color="auto" w:fill="auto"/>
          <w:lang w:val="ru-RU" w:eastAsia="ru-RU" w:bidi="ru-RU"/>
        </w:rPr>
        <w:t>28.10.2024 № 10249/24) в рамках закупочной документации электронного аукциона № 030720003062002244 требуется оказать услуги по выводу из эксплуатации и разрядке гамма-терапевтического аппарата ТЪепПгоп Ес]шпох, в котором находится закрытый радионуклидный источник на основе Со-60 типа С-146. Данный радиационный источник относится к категории радиационной опасности 1, поэтому разработка проектной документации обязательна.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требованиями НП-038-16 и НП-091-14 вывод из эксплуатации радиационного источника - это комплекс работ, при котором в соответствии с требованиями пункта 5 НП-091-14 должны содержаться основные принципы, в том числе обеспечение уровня защищенности работников (персонала) и населения от радиационного воздействия, недопущение выбросов и сбросов радиационных веществ в окружающую среду в количествах, превышающих нормативные предельно допустимые выбросов и допустимых радиационных аварий и ограничение их последствий, обеспечение минимизации радиационных аварий и ограничение их последствий, обеспечение минимизации количества образующих радиоактивных отходов. Данные принципы в соответствии с требованиями пункта 8 НП-091-14, обосновываются в проектной документации на вывод из эксплуатации. Таким образом, разрабатываемая проектная документация на вывод из эксплуатации является основным документом, обосновывающим радиационную безопасность на объекте.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со статьёй 37 Федерального закона от 21.11.1995 № 170-ФЗ «Об использовании атомной энергии» организации, осуществляющие научные исследования и изыскания, проектирование, сооружение и вывод из эксплуатации ядерных установок, радиационных источников или пунктов хранения, конструирование и изготовление для них оборудования, проведение иных работ и предоставление иных услуг в области использования атомной энергии, обеспечивают выполнение работ и предоставление услуг в таком объеме и такого качества, которые отвечают нормам и правилам в области использования атомной энергии, и несут ответственность за качество выполненных работ и предоставленных услуг в течение всего проектного срока службы ядерной установки, радиационного источника, пункта хранения или изготовленного для них оборудования.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пунктами 3.6.2 и 3.6.3, 3.6.6 Основных санитарных правил обеспечения радиационной безопасности (ОСПОРБ-99/2010), утвержденных Постановлением Главного государственного санитарного врача Российской Федерации от 26.04.2020 № 40, вывод из эксплуатации радиационного объекта или отдельной его части должен производиться в соответствии с проектом.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проекте вывода радиационного объекта из эксплуатации должны быть предусмотрены мероприятия по обеспечению безопасности на всех этапах вывода его из эксплуатации.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Работы по выводу радиационных объектов из эксплуатации должны выполняться специально подготовленным персоналом объекта или персоналом других организаций, имеющих соответствующую лицензию.</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пояснено представителя ГУ «КРКОД» в ходе заседания Комиссии Коми УФАС России, у Заказчика нет технической и кадровой возможности самостоятельно разработать проектную документацию. В уставных документах Заказчика отсутствует необходимая компетенция по самостоятельной разработке проектной документации.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то же время ГУ «КРКОД» является государственным заказчиком и в силу требований Закона о контрактной системе имеет право закупать услуги руководствуясь </w:t>
      </w:r>
      <w:r>
        <w:rPr>
          <w:color w:val="000000"/>
          <w:spacing w:val="0"/>
          <w:w w:val="100"/>
          <w:position w:val="0"/>
          <w:shd w:val="clear" w:color="auto" w:fill="auto"/>
          <w:lang w:val="ru-RU" w:eastAsia="ru-RU" w:bidi="ru-RU"/>
        </w:rPr>
        <w:t>объективной потребностью. Объективная потребность в свою очередь продиктована действующим законодательства Российской Федерации в сфере атомной энергетики.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Исходя из вышеизложенного, Комиссия Коми УФАС России приходит к выводу что разрабатываемая проектная документация на вывод из эксплуатации является основополагающим документом, обосновывающим безопасность принятой концепции вывода из эксплуатации объекта использования атомной энергии. Как пояснено представителями ГУ «КРКОД», работы по разработке проектной документации занимают значительное и ответственное место в общем объеме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при рассмотрении жалобы установила, что указанное в извещении об осуществлении закупки требование о наличии действующей лицензии на проектирования и конструирования радиационных источников вызвано необходимостью оказания услуг в рамках правоспособности хозяйствующего субъекта, принимающего участие в закупке, обусловленной наличием лицензии на осуществление деятельности, относящейся к предмету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Учитывая, что для разработки проекта вывода из эксплуатации радиационного источника, организации необходимо иметь лицензию Федеральной службы по экологическому, технологическому и атомному надзору на право проектирования и конструирования радиационных источников, установленное в документации требование о наличии лицензии является обязательным и не может быть исключено из состава положений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информации, представленной оператором электронной площадки, письмом от 24.10.2024 (вх. от 25.10.2024 № 10190-ЭП/24) по результатам осуществления закупки на участие закупке было подано две заявки, что в силу требований законодательства Российской Федерации о контрактной системе в сфере закупок не может свидетельствовать об отсутствии состязательности между хозяйствующими субъектами и ограничением количества участников закупочной процедуры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доводы ООО «Энергия» в силу недоказанности следует считать необоснованными.</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w:t>
      </w:r>
      <w:r>
        <w:rPr>
          <w:i/>
          <w:iCs/>
          <w:color w:val="000000"/>
          <w:spacing w:val="0"/>
          <w:w w:val="100"/>
          <w:position w:val="0"/>
          <w:shd w:val="clear" w:color="auto" w:fill="auto"/>
          <w:lang w:val="ru-RU" w:eastAsia="ru-RU" w:bidi="ru-RU"/>
        </w:rPr>
        <w:t>а также в результате рассмотрения жалобы на действия (бездействие) заказчика,</w:t>
      </w:r>
      <w:r>
        <w:rPr>
          <w:color w:val="000000"/>
          <w:spacing w:val="0"/>
          <w:w w:val="100"/>
          <w:position w:val="0"/>
          <w:shd w:val="clear" w:color="auto" w:fill="auto"/>
          <w:lang w:val="ru-RU" w:eastAsia="ru-RU" w:bidi="ru-RU"/>
        </w:rPr>
        <w:t xml:space="preserve">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данной жалобе предписание выдаче не подлежит, так как нарушения в действиях заказчика - ГУ «КРКОД» при установлении в извещении об осуществлении закупки</w:t>
        <w:br w:type="page"/>
      </w:r>
      <w:r>
        <w:rPr>
          <w:color w:val="000000"/>
          <w:spacing w:val="0"/>
          <w:w w:val="100"/>
          <w:position w:val="0"/>
          <w:shd w:val="clear" w:color="auto" w:fill="auto"/>
          <w:lang w:val="ru-RU" w:eastAsia="ru-RU" w:bidi="ru-RU"/>
        </w:rPr>
        <w:t>требования о наличии действующей лицензии Федеральной службы по экологическому, технологическому и атомному надзору на право проектирования и конструирования радиационных источников, не подтверждены.</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numPr>
          <w:ilvl w:val="0"/>
          <w:numId w:val="5"/>
        </w:numPr>
        <w:shd w:val="clear" w:color="auto" w:fill="auto"/>
        <w:tabs>
          <w:tab w:pos="10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«Энергия» необоснованной.</w:t>
      </w:r>
    </w:p>
    <w:p>
      <w:pPr>
        <w:pStyle w:val="Style14"/>
        <w:keepNext w:val="0"/>
        <w:keepLines w:val="0"/>
        <w:widowControl w:val="0"/>
        <w:numPr>
          <w:ilvl w:val="0"/>
          <w:numId w:val="5"/>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результатам рассмотрения жалобы в действиях заказчика - ГУ «КРКОД» нарушения законодательства Российской Федерации о контрактной системе в сфере закупок при установлении в извещении об осуществлении закупки требования о наличии действующей лицензии Федеральной службы по экологическому, технологическому и атомному надзору на право проектирования и конструирования радиационных источников, не подтверждены.</w:t>
      </w:r>
    </w:p>
    <w:p>
      <w:pPr>
        <w:pStyle w:val="Style14"/>
        <w:keepNext w:val="0"/>
        <w:keepLines w:val="0"/>
        <w:widowControl w:val="0"/>
        <w:numPr>
          <w:ilvl w:val="0"/>
          <w:numId w:val="5"/>
        </w:numPr>
        <w:shd w:val="clear" w:color="auto" w:fill="auto"/>
        <w:tabs>
          <w:tab w:pos="1078"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С учетом того, что нарушения законодательства Российской Федерации о контрактной системе в сфере закупок при описании объекта закупки отсутствуют, предписание не выдавать.</w:t>
      </w:r>
    </w:p>
    <w:p>
      <w:pPr>
        <w:pStyle w:val="Style14"/>
        <w:keepNext w:val="0"/>
        <w:keepLines w:val="0"/>
        <w:widowControl w:val="0"/>
        <w:shd w:val="clear" w:color="auto" w:fill="auto"/>
        <w:bidi w:val="0"/>
        <w:spacing w:before="0" w:after="600" w:line="240" w:lineRule="auto"/>
        <w:ind w:left="0" w:right="0" w:firstLine="82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4"/>
        <w:keepNext w:val="0"/>
        <w:keepLines w:val="0"/>
        <w:widowControl w:val="0"/>
        <w:shd w:val="clear" w:color="auto" w:fill="auto"/>
        <w:tabs>
          <w:tab w:leader="underscore" w:pos="6374" w:val="left"/>
        </w:tabs>
        <w:bidi w:val="0"/>
        <w:spacing w:before="0" w:after="0" w:line="223" w:lineRule="auto"/>
        <w:ind w:left="0" w:right="0" w:firstLine="0"/>
        <w:jc w:val="both"/>
        <w:rPr>
          <w:sz w:val="28"/>
          <w:szCs w:val="28"/>
        </w:rPr>
      </w:pPr>
      <w:r>
        <w:rPr>
          <w:color w:val="000000"/>
          <w:spacing w:val="0"/>
          <w:w w:val="100"/>
          <w:position w:val="0"/>
          <w:sz w:val="28"/>
          <w:szCs w:val="28"/>
          <w:shd w:val="clear" w:color="auto" w:fill="auto"/>
          <w:lang w:val="ru-RU" w:eastAsia="ru-RU" w:bidi="ru-RU"/>
        </w:rPr>
        <w:t>Председатель комиссии</w:t>
      </w:r>
      <w:r>
        <w:rPr>
          <w:color w:val="000000"/>
          <w:spacing w:val="0"/>
          <w:w w:val="100"/>
          <w:position w:val="0"/>
          <w:sz w:val="28"/>
          <w:szCs w:val="28"/>
          <w:shd w:val="clear" w:color="auto" w:fill="auto"/>
          <w:lang w:val="ru-RU" w:eastAsia="ru-RU" w:bidi="ru-RU"/>
        </w:rPr>
        <w:tab/>
      </w:r>
    </w:p>
    <w:p>
      <w:pPr>
        <w:widowControl w:val="0"/>
        <w:spacing w:line="1" w:lineRule="exact"/>
        <w:sectPr>
          <w:footnotePr>
            <w:pos w:val="pageBottom"/>
            <w:numFmt w:val="decimal"/>
            <w:numRestart w:val="continuous"/>
          </w:footnotePr>
          <w:type w:val="continuous"/>
          <w:pgSz w:w="11900" w:h="16840"/>
          <w:pgMar w:top="1135" w:right="534" w:bottom="974" w:left="1099" w:header="0" w:footer="3" w:gutter="0"/>
          <w:cols w:space="720"/>
          <w:noEndnote/>
          <w:rtlGutter w:val="0"/>
          <w:docGrid w:linePitch="360"/>
        </w:sectPr>
      </w:pPr>
      <w:r>
        <mc:AlternateContent>
          <mc:Choice Requires="wps">
            <w:drawing>
              <wp:anchor distT="52070" distB="0" distL="0" distR="0" simplePos="0" relativeHeight="125829384" behindDoc="0" locked="0" layoutInCell="1" allowOverlap="1">
                <wp:simplePos x="0" y="0"/>
                <wp:positionH relativeFrom="page">
                  <wp:posOffset>3017520</wp:posOffset>
                </wp:positionH>
                <wp:positionV relativeFrom="paragraph">
                  <wp:posOffset>52070</wp:posOffset>
                </wp:positionV>
                <wp:extent cx="1725295" cy="255905"/>
                <wp:wrapTopAndBottom/>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37.59999999999999pt;margin-top:4.0999999999999996pt;width:135.84999999999999pt;height:20.150000000000002pt;z-index:-125829369;mso-wrap-distance-left:0;mso-wrap-distance-top:4.0999999999999996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55245" distL="0" distR="0" simplePos="0" relativeHeight="125829386" behindDoc="0" locked="0" layoutInCell="1" allowOverlap="1">
                <wp:simplePos x="0" y="0"/>
                <wp:positionH relativeFrom="page">
                  <wp:posOffset>6144895</wp:posOffset>
                </wp:positionH>
                <wp:positionV relativeFrom="paragraph">
                  <wp:posOffset>0</wp:posOffset>
                </wp:positionV>
                <wp:extent cx="1048385" cy="252730"/>
                <wp:wrapTopAndBottom/>
                <wp:docPr id="17" name="Shape 17"/>
                <a:graphic xmlns:a="http://schemas.openxmlformats.org/drawingml/2006/main">
                  <a:graphicData uri="http://schemas.microsoft.com/office/word/2010/wordprocessingShape">
                    <wps:wsp>
                      <wps:cNvSpPr txBox="1"/>
                      <wps:spPr>
                        <a:xfrm>
                          <a:ext cx="104838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43" type="#_x0000_t202" style="position:absolute;margin-left:483.85000000000002pt;margin-top:0;width:82.549999999999997pt;height:19.900000000000002pt;z-index:-125829367;mso-wrap-distance-left:0;mso-wrap-distance-right:0;mso-wrap-distance-bottom:4.350000000000000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txbxContent>
                </v:textbox>
                <w10:wrap type="topAndBottom" anchorx="page"/>
              </v:shape>
            </w:pict>
          </mc:Fallback>
        </mc:AlternateContent>
      </w: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1964" w:left="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left="3020" w:right="0" w:firstLine="0"/>
        <w:jc w:val="left"/>
        <w:rPr>
          <w:sz w:val="11"/>
          <w:szCs w:val="11"/>
        </w:rPr>
      </w:pPr>
      <w:r>
        <w:rPr>
          <w:color w:val="707070"/>
          <w:spacing w:val="0"/>
          <w:w w:val="100"/>
          <w:position w:val="0"/>
          <w:sz w:val="12"/>
          <w:szCs w:val="12"/>
          <w:shd w:val="clear" w:color="auto" w:fill="auto"/>
          <w:lang w:val="ru-RU" w:eastAsia="ru-RU" w:bidi="ru-RU"/>
        </w:rPr>
        <w:t xml:space="preserve">Кому </w:t>
      </w:r>
      <w:r>
        <w:rPr>
          <w:color w:val="58585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Дейберт Ольга Ивановна</w:t>
      </w:r>
    </w:p>
    <w:p>
      <w:pPr>
        <w:pStyle w:val="Style24"/>
        <w:keepNext w:val="0"/>
        <w:keepLines w:val="0"/>
        <w:widowControl w:val="0"/>
        <w:shd w:val="clear" w:color="auto" w:fill="auto"/>
        <w:bidi w:val="0"/>
        <w:spacing w:before="0" w:after="0" w:line="240" w:lineRule="auto"/>
        <w:ind w:left="302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47ВЕ956094А2653С447Е267327825004</w:t>
      </w:r>
    </w:p>
    <w:p>
      <w:pPr>
        <w:pStyle w:val="Style24"/>
        <w:keepNext w:val="0"/>
        <w:keepLines w:val="0"/>
        <w:widowControl w:val="0"/>
        <w:shd w:val="clear" w:color="auto" w:fill="auto"/>
        <w:bidi w:val="0"/>
        <w:spacing w:before="0" w:after="380" w:line="240" w:lineRule="auto"/>
        <w:ind w:left="3020" w:right="0" w:firstLine="0"/>
        <w:jc w:val="left"/>
      </w:pPr>
      <w:r>
        <w:rPr>
          <w:color w:val="585858"/>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10.06.2024 </w:t>
      </w:r>
      <w:r>
        <w:rPr>
          <w:color w:val="707070"/>
          <w:spacing w:val="0"/>
          <w:w w:val="100"/>
          <w:position w:val="0"/>
          <w:shd w:val="clear" w:color="auto" w:fill="auto"/>
          <w:lang w:val="ru-RU" w:eastAsia="ru-RU" w:bidi="ru-RU"/>
        </w:rPr>
        <w:t xml:space="preserve">по </w:t>
      </w:r>
      <w:r>
        <w:rPr>
          <w:color w:val="585858"/>
          <w:spacing w:val="0"/>
          <w:w w:val="100"/>
          <w:position w:val="0"/>
          <w:shd w:val="clear" w:color="auto" w:fill="auto"/>
          <w:lang w:val="ru-RU" w:eastAsia="ru-RU" w:bidi="ru-RU"/>
        </w:rPr>
        <w:t>03.09.2025</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666" w:right="546" w:bottom="1964" w:left="1106" w:header="0" w:footer="3" w:gutter="0"/>
          <w:cols w:space="720"/>
          <w:noEndnote/>
          <w:rtlGutter w:val="0"/>
          <w:docGrid w:linePitch="360"/>
        </w:sectPr>
      </w:pPr>
      <w:r>
        <mc:AlternateContent>
          <mc:Choice Requires="wps">
            <w:drawing>
              <wp:anchor distT="176530" distB="635" distL="0" distR="0" simplePos="0" relativeHeight="125829388" behindDoc="0" locked="0" layoutInCell="1" allowOverlap="1">
                <wp:simplePos x="0" y="0"/>
                <wp:positionH relativeFrom="page">
                  <wp:posOffset>3075305</wp:posOffset>
                </wp:positionH>
                <wp:positionV relativeFrom="paragraph">
                  <wp:posOffset>176530</wp:posOffset>
                </wp:positionV>
                <wp:extent cx="1725295" cy="255905"/>
                <wp:wrapTopAndBottom/>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15000000000001pt;margin-top:13.9pt;width:135.84999999999999pt;height:20.150000000000002pt;z-index:-125829365;mso-wrap-distance-left:0;mso-wrap-distance-top:13.9pt;mso-wrap-distance-right:0;mso-wrap-distance-bottom:5.0000000000000003e-002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82880" distL="0" distR="0" simplePos="0" relativeHeight="125829390" behindDoc="0" locked="0" layoutInCell="1" allowOverlap="1">
                <wp:simplePos x="0" y="0"/>
                <wp:positionH relativeFrom="page">
                  <wp:posOffset>6001385</wp:posOffset>
                </wp:positionH>
                <wp:positionV relativeFrom="paragraph">
                  <wp:posOffset>0</wp:posOffset>
                </wp:positionV>
                <wp:extent cx="1185545" cy="250190"/>
                <wp:wrapTopAndBottom/>
                <wp:docPr id="21" name="Shape 21"/>
                <a:graphic xmlns:a="http://schemas.openxmlformats.org/drawingml/2006/main">
                  <a:graphicData uri="http://schemas.microsoft.com/office/word/2010/wordprocessingShape">
                    <wps:wsp>
                      <wps:cNvSpPr txBox="1"/>
                      <wps:spPr>
                        <a:xfrm>
                          <a:ext cx="118554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txbxContent>
                      </wps:txbx>
                      <wps:bodyPr wrap="none" lIns="0" tIns="0" rIns="0" bIns="0">
                        <a:noAutoFit/>
                      </wps:bodyPr>
                    </wps:wsp>
                  </a:graphicData>
                </a:graphic>
              </wp:anchor>
            </w:drawing>
          </mc:Choice>
          <mc:Fallback>
            <w:pict>
              <v:shape id="_x0000_s1047" type="#_x0000_t202" style="position:absolute;margin-left:472.55000000000001pt;margin-top:0;width:93.350000000000009pt;height:19.699999999999999pt;z-index:-125829363;mso-wrap-distance-left:0;mso-wrap-distance-right:0;mso-wrap-distance-bottom:14.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txbxContent>
                </v:textbox>
                <w10:wrap type="topAndBottom" anchorx="page"/>
              </v:shape>
            </w:pict>
          </mc:Fallback>
        </mc:AlternateContent>
      </w:r>
    </w:p>
    <w:p>
      <w:pPr>
        <w:widowControl w:val="0"/>
        <w:spacing w:line="195" w:lineRule="exact"/>
        <w:rPr>
          <w:sz w:val="16"/>
          <w:szCs w:val="16"/>
        </w:rPr>
      </w:pPr>
    </w:p>
    <w:p>
      <w:pPr>
        <w:widowControl w:val="0"/>
        <w:spacing w:line="1" w:lineRule="exact"/>
        <w:sectPr>
          <w:footnotePr>
            <w:pos w:val="pageBottom"/>
            <w:numFmt w:val="decimal"/>
            <w:numRestart w:val="continuous"/>
          </w:footnotePr>
          <w:type w:val="continuous"/>
          <w:pgSz w:w="11900" w:h="16840"/>
          <w:pgMar w:top="1666" w:right="0" w:bottom="1964" w:left="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right="0" w:firstLine="0"/>
        <w:jc w:val="left"/>
        <w:rPr>
          <w:sz w:val="11"/>
          <w:szCs w:val="11"/>
        </w:rPr>
      </w:pPr>
      <w:r>
        <w:rPr>
          <w:color w:val="70707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Мокиенко Анастасия Александровна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5740В06С3000758Е050638ВЕ6СА058С1</w:t>
      </w:r>
    </w:p>
    <w:p>
      <w:pPr>
        <w:pStyle w:val="Style24"/>
        <w:keepNext w:val="0"/>
        <w:keepLines w:val="0"/>
        <w:widowControl w:val="0"/>
        <w:shd w:val="clear" w:color="auto" w:fill="auto"/>
        <w:bidi w:val="0"/>
        <w:spacing w:before="0" w:after="0" w:line="240" w:lineRule="auto"/>
        <w:ind w:right="0" w:firstLine="0"/>
        <w:jc w:val="left"/>
      </w:pPr>
      <w:r>
        <w:rPr>
          <w:color w:val="707070"/>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25.12.2023 по </w:t>
      </w:r>
      <w:r>
        <w:rPr>
          <w:color w:val="707070"/>
          <w:spacing w:val="0"/>
          <w:w w:val="100"/>
          <w:position w:val="0"/>
          <w:shd w:val="clear" w:color="auto" w:fill="auto"/>
          <w:lang w:val="ru-RU" w:eastAsia="ru-RU" w:bidi="ru-RU"/>
        </w:rPr>
        <w:t>19.03.2025</w:t>
      </w:r>
    </w:p>
    <w:p>
      <w:pPr>
        <w:widowControl w:val="0"/>
        <w:spacing w:line="1" w:lineRule="exact"/>
        <w:sectPr>
          <w:footnotePr>
            <w:pos w:val="pageBottom"/>
            <w:numFmt w:val="decimal"/>
            <w:numRestart w:val="continuous"/>
          </w:footnotePr>
          <w:type w:val="continuous"/>
          <w:pgSz w:w="11900" w:h="16840"/>
          <w:pgMar w:top="1666" w:right="546" w:bottom="1964" w:left="1106" w:header="0" w:footer="3" w:gutter="0"/>
          <w:cols w:space="720"/>
          <w:noEndnote/>
          <w:rtlGutter w:val="0"/>
          <w:docGrid w:linePitch="360"/>
        </w:sectPr>
      </w:pPr>
      <w:r>
        <mc:AlternateContent>
          <mc:Choice Requires="wps">
            <w:drawing>
              <wp:anchor distT="440690" distB="635" distL="0" distR="0" simplePos="0" relativeHeight="125829392" behindDoc="0" locked="0" layoutInCell="1" allowOverlap="1">
                <wp:simplePos x="0" y="0"/>
                <wp:positionH relativeFrom="page">
                  <wp:posOffset>3075305</wp:posOffset>
                </wp:positionH>
                <wp:positionV relativeFrom="paragraph">
                  <wp:posOffset>440690</wp:posOffset>
                </wp:positionV>
                <wp:extent cx="1725295" cy="255905"/>
                <wp:wrapTopAndBottom/>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15000000000001pt;margin-top:34.700000000000003pt;width:135.84999999999999pt;height:20.150000000000002pt;z-index:-125829361;mso-wrap-distance-left:0;mso-wrap-distance-top:34.700000000000003pt;mso-wrap-distance-right:0;mso-wrap-distance-bottom:5.0000000000000003e-002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94" behindDoc="0" locked="0" layoutInCell="1" allowOverlap="1">
                <wp:simplePos x="0" y="0"/>
                <wp:positionH relativeFrom="page">
                  <wp:posOffset>5970905</wp:posOffset>
                </wp:positionH>
                <wp:positionV relativeFrom="paragraph">
                  <wp:posOffset>279400</wp:posOffset>
                </wp:positionV>
                <wp:extent cx="1222375" cy="250190"/>
                <wp:wrapTopAndBottom/>
                <wp:docPr id="25" name="Shape 25"/>
                <a:graphic xmlns:a="http://schemas.openxmlformats.org/drawingml/2006/main">
                  <a:graphicData uri="http://schemas.microsoft.com/office/word/2010/wordprocessingShape">
                    <wps:wsp>
                      <wps:cNvSpPr txBox="1"/>
                      <wps:spPr>
                        <a:xfrm>
                          <a:ext cx="122237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А.Д. Растегаева</w:t>
                            </w:r>
                          </w:p>
                        </w:txbxContent>
                      </wps:txbx>
                      <wps:bodyPr wrap="none" lIns="0" tIns="0" rIns="0" bIns="0">
                        <a:noAutoFit/>
                      </wps:bodyPr>
                    </wps:wsp>
                  </a:graphicData>
                </a:graphic>
              </wp:anchor>
            </w:drawing>
          </mc:Choice>
          <mc:Fallback>
            <w:pict>
              <v:shape id="_x0000_s1051" type="#_x0000_t202" style="position:absolute;margin-left:470.15000000000003pt;margin-top:22.pt;width:96.25pt;height:19.699999999999999pt;z-index:-125829359;mso-wrap-distance-left:0;mso-wrap-distance-top:22.pt;mso-wrap-distance-right:0;mso-wrap-distance-bottom:13.2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А.Д. Растегаева</w:t>
                      </w:r>
                    </w:p>
                  </w:txbxContent>
                </v:textbox>
                <w10:wrap type="topAndBottom" anchorx="page"/>
              </v:shape>
            </w:pict>
          </mc:Fallback>
        </mc:AlternateContent>
      </w: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1666" w:left="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right="0" w:firstLine="0"/>
        <w:jc w:val="left"/>
        <w:rPr>
          <w:sz w:val="11"/>
          <w:szCs w:val="11"/>
        </w:rPr>
      </w:pPr>
      <w:r>
        <w:rPr>
          <w:color w:val="70707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Растегаева Анна Дмитриевна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00АЕ786ЕВЗО4997В7832ЕЗЕ0В44087743В</w:t>
      </w:r>
    </w:p>
    <w:p>
      <w:pPr>
        <w:pStyle w:val="Style24"/>
        <w:keepNext w:val="0"/>
        <w:keepLines w:val="0"/>
        <w:widowControl w:val="0"/>
        <w:shd w:val="clear" w:color="auto" w:fill="auto"/>
        <w:bidi w:val="0"/>
        <w:spacing w:before="0" w:after="0" w:line="240" w:lineRule="auto"/>
        <w:ind w:right="0" w:firstLine="0"/>
        <w:jc w:val="left"/>
      </w:pPr>
      <w:r>
        <w:rPr>
          <w:color w:val="70707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16.02.2024 по </w:t>
      </w:r>
      <w:r>
        <w:rPr>
          <w:color w:val="707070"/>
          <w:spacing w:val="0"/>
          <w:w w:val="100"/>
          <w:position w:val="0"/>
          <w:shd w:val="clear" w:color="auto" w:fill="auto"/>
          <w:lang w:val="ru-RU" w:eastAsia="ru-RU" w:bidi="ru-RU"/>
        </w:rPr>
        <w:t>11.05.2025</w:t>
      </w:r>
    </w:p>
    <w:sectPr>
      <w:footnotePr>
        <w:pos w:val="pageBottom"/>
        <w:numFmt w:val="decimal"/>
        <w:numRestart w:val="continuous"/>
      </w:footnotePr>
      <w:pgSz w:w="11900" w:h="16840"/>
      <w:pgMar w:top="1666" w:right="546"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10016490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2024-7160</w:t>
                          </w:r>
                        </w:p>
                      </w:txbxContent>
                    </wps:txbx>
                    <wps:bodyPr wrap="none" lIns="0" tIns="0" rIns="0" bIns="0">
                      <a:spAutoFit/>
                    </wps:bodyPr>
                  </wps:wsp>
                </a:graphicData>
              </a:graphic>
            </wp:anchor>
          </w:drawing>
        </mc:Choice>
        <mc:Fallback>
          <w:pict>
            <v:shape id="_x0000_s1031" type="#_x0000_t202" style="position:absolute;margin-left:56.850000000000001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2024-7160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2024-7160</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2024-7160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3904615</wp:posOffset>
              </wp:positionH>
              <wp:positionV relativeFrom="page">
                <wp:posOffset>716280</wp:posOffset>
              </wp:positionV>
              <wp:extent cx="128270" cy="106680"/>
              <wp:wrapNone/>
              <wp:docPr id="3" name="Shape 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44999999999999pt;margin-top:56.399999999999999pt;width:10.1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11">
    <w:name w:val="Основной текст (6)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Основной текст (3)_"/>
    <w:basedOn w:val="DefaultParagraphFont"/>
    <w:link w:val="Style17"/>
    <w:rPr>
      <w:rFonts w:ascii="Georgia" w:eastAsia="Georgia" w:hAnsi="Georgia" w:cs="Georgia"/>
      <w:b w:val="0"/>
      <w:bCs w:val="0"/>
      <w:i w:val="0"/>
      <w:iCs w:val="0"/>
      <w:smallCaps w:val="0"/>
      <w:strike w:val="0"/>
      <w:color w:val="252525"/>
      <w:sz w:val="11"/>
      <w:szCs w:val="11"/>
      <w:u w:val="none"/>
    </w:rPr>
  </w:style>
  <w:style w:type="character" w:customStyle="1" w:styleId="CharStyle22">
    <w:name w:val="Заголовок №1_"/>
    <w:basedOn w:val="DefaultParagraphFont"/>
    <w:link w:val="Style21"/>
    <w:rPr>
      <w:rFonts w:ascii="Times New Roman" w:eastAsia="Times New Roman" w:hAnsi="Times New Roman" w:cs="Times New Roman"/>
      <w:b/>
      <w:bCs/>
      <w:i w:val="0"/>
      <w:iCs w:val="0"/>
      <w:smallCaps w:val="0"/>
      <w:strike w:val="0"/>
      <w:sz w:val="32"/>
      <w:szCs w:val="3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3E3E3E"/>
      <w:sz w:val="12"/>
      <w:szCs w:val="12"/>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10">
    <w:name w:val="Основной текст (6)"/>
    <w:basedOn w:val="Normal"/>
    <w:link w:val="CharStyle11"/>
    <w:pPr>
      <w:widowControl w:val="0"/>
      <w:shd w:val="clear" w:color="auto" w:fill="auto"/>
      <w:spacing w:after="340" w:line="233" w:lineRule="auto"/>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Основной текст (3)"/>
    <w:basedOn w:val="Normal"/>
    <w:link w:val="CharStyle18"/>
    <w:pPr>
      <w:widowControl w:val="0"/>
      <w:shd w:val="clear" w:color="auto" w:fill="auto"/>
    </w:pPr>
    <w:rPr>
      <w:rFonts w:ascii="Georgia" w:eastAsia="Georgia" w:hAnsi="Georgia" w:cs="Georgia"/>
      <w:b w:val="0"/>
      <w:bCs w:val="0"/>
      <w:i w:val="0"/>
      <w:iCs w:val="0"/>
      <w:smallCaps w:val="0"/>
      <w:strike w:val="0"/>
      <w:color w:val="252525"/>
      <w:sz w:val="11"/>
      <w:szCs w:val="11"/>
      <w:u w:val="none"/>
    </w:rPr>
  </w:style>
  <w:style w:type="paragraph" w:customStyle="1" w:styleId="Style21">
    <w:name w:val="Заголовок №1"/>
    <w:basedOn w:val="Normal"/>
    <w:link w:val="CharStyle22"/>
    <w:pPr>
      <w:widowControl w:val="0"/>
      <w:shd w:val="clear" w:color="auto" w:fill="auto"/>
      <w:jc w:val="center"/>
      <w:outlineLvl w:val="0"/>
    </w:pPr>
    <w:rPr>
      <w:rFonts w:ascii="Times New Roman" w:eastAsia="Times New Roman" w:hAnsi="Times New Roman" w:cs="Times New Roman"/>
      <w:b/>
      <w:bCs/>
      <w:i w:val="0"/>
      <w:iCs w:val="0"/>
      <w:smallCaps w:val="0"/>
      <w:strike w:val="0"/>
      <w:sz w:val="32"/>
      <w:szCs w:val="32"/>
      <w:u w:val="none"/>
    </w:rPr>
  </w:style>
  <w:style w:type="paragraph" w:customStyle="1" w:styleId="Style24">
    <w:name w:val="Основной текст (2)"/>
    <w:basedOn w:val="Normal"/>
    <w:link w:val="CharStyle25"/>
    <w:pPr>
      <w:widowControl w:val="0"/>
      <w:shd w:val="clear" w:color="auto" w:fill="auto"/>
      <w:ind w:left="3100"/>
    </w:pPr>
    <w:rPr>
      <w:rFonts w:ascii="Arial" w:eastAsia="Arial" w:hAnsi="Arial" w:cs="Arial"/>
      <w:b w:val="0"/>
      <w:bCs w:val="0"/>
      <w:i w:val="0"/>
      <w:iCs w:val="0"/>
      <w:smallCaps w:val="0"/>
      <w:strike w:val="0"/>
      <w:color w:val="3E3E3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