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«Флажность»</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Красная 74-21 г. Пенза, 440026.</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гдЬ.рпх@дтаП .сот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Агентство государственного заказа Красноярского края пр. Мира, д. 10, оф. 53, г. Красноярск, 660049.</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адх_рпет@таП.ш;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адх хаЬ еНпа@т аП.ш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КГКУ «ТИЦ» ул. Ленина, д. 123 «А», каб. 10-07, г. Красноярск, 660009.</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та^1@V^8^^8^Ьепа.т^о</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«ТЭК-Торг»</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829" w:bottom="1231" w:left="1140" w:header="0" w:footer="3" w:gutter="0"/>
          <w:pgNumType w:start="1"/>
          <w:cols w:num="2" w:space="720" w:equalWidth="0">
            <w:col w:w="4090" w:space="1176"/>
            <w:col w:w="4666"/>
          </w:cols>
          <w:noEndnote/>
          <w:titlePg/>
          <w:rtlGutter w:val="0"/>
          <w:docGrid w:linePitch="360"/>
        </w:sectPr>
      </w:pPr>
      <w:r>
        <w:rPr>
          <w:color w:val="000000"/>
          <w:spacing w:val="0"/>
          <w:w w:val="100"/>
          <w:position w:val="0"/>
          <w:sz w:val="24"/>
          <w:szCs w:val="24"/>
          <w:shd w:val="clear" w:color="auto" w:fill="auto"/>
          <w:lang w:val="ru-RU" w:eastAsia="ru-RU" w:bidi="ru-RU"/>
        </w:rPr>
        <w:t>пер. Гамсоновский, 5, стр.2, этаж 5, пом. VII, г. Москва, 115191 Ье1р@1ек1огд.ш</w:t>
      </w:r>
    </w:p>
    <w:p>
      <w:pPr>
        <w:widowControl w:val="0"/>
        <w:spacing w:line="159" w:lineRule="exact"/>
        <w:rPr>
          <w:sz w:val="13"/>
          <w:szCs w:val="13"/>
        </w:rPr>
      </w:pPr>
    </w:p>
    <w:p>
      <w:pPr>
        <w:widowControl w:val="0"/>
        <w:spacing w:line="1" w:lineRule="exact"/>
        <w:sectPr>
          <w:footnotePr>
            <w:pos w:val="pageBottom"/>
            <w:numFmt w:val="decimal"/>
            <w:numRestart w:val="continuous"/>
          </w:footnotePr>
          <w:type w:val="continuous"/>
          <w:pgSz w:w="11900" w:h="16840"/>
          <w:pgMar w:top="333" w:right="0" w:bottom="1182" w:left="0" w:header="0" w:footer="3" w:gutter="0"/>
          <w:cols w:space="720"/>
          <w:noEndnote/>
          <w:rtlGutter w:val="0"/>
          <w:docGrid w:linePitch="360"/>
        </w:sectPr>
      </w:pPr>
    </w:p>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Решение №024/06/106-3359/2024</w:t>
      </w:r>
    </w:p>
    <w:p>
      <w:pPr>
        <w:pStyle w:val="Style13"/>
        <w:keepNext w:val="0"/>
        <w:keepLines w:val="0"/>
        <w:widowControl w:val="0"/>
        <w:shd w:val="clear" w:color="auto" w:fill="auto"/>
        <w:tabs>
          <w:tab w:pos="8689" w:val="left"/>
        </w:tabs>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29 октября 2024 года</w:t>
        <w:tab/>
        <w:t>г. Красноярск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заместитель руководителя; Е.М. Хоменко, врио начальника отдела; А.Р Мулагалеев, ведущий специалист-эксперт (далее — Комиссия), рассмотрев жалобу общества с ограниченной ответственностью «Флажность» (далее - податель жалобы, общество) на действия аукционной комиссии заказчика — КГКУ «ТИЦ» (далее — Заказчик), уполномоченного органа — Агентства государственного заказа Красноярского края (далее — Уполномоченный орган) при проведении электронного аукциона ЭА-№-16966/24 «Поставка государственных флагов Российской Федерации» (далее - электронный аукцион), извещение №0119200000124016638 (далее - Извещение); ИКЗ 242246618822424660100101090011392244 (далее - ИКЗ) на электронной торговой площадке АО «ТЭК-Торг»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Существо жалобы: нарушение комиссией по осуществлению закупок порядка рассмотрения и оценки заявок на участие в электронном аукционе предусмотренного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440" w:line="240" w:lineRule="auto"/>
        <w:ind w:left="0" w:right="0" w:firstLine="740"/>
        <w:jc w:val="both"/>
      </w:pPr>
      <w:r>
        <w:rPr>
          <w:color w:val="000000"/>
          <w:spacing w:val="0"/>
          <w:w w:val="100"/>
          <w:position w:val="0"/>
          <w:sz w:val="24"/>
          <w:szCs w:val="24"/>
          <w:shd w:val="clear" w:color="auto" w:fill="auto"/>
          <w:lang w:val="ru-RU" w:eastAsia="ru-RU" w:bidi="ru-RU"/>
        </w:rPr>
        <w:t>Полномочия Комиссии по рассмотрению жалобы основаны на положениях статьи 105 Закона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распоряжения Правительства РФ от 28.03.2008 № 406-р «О схеме размещения территориальных органов ФАС России» и Приказа ФАС России от 13.10.2015 № 955/15 «О координации деятельности центрального аппарата ФАС России и территориальных органов ФАС России при осуществлении контроля в сфере закупок в</w:t>
      </w:r>
    </w:p>
    <w:p>
      <w:pPr>
        <w:pStyle w:val="Style15"/>
        <w:keepNext/>
        <w:keepLines/>
        <w:widowControl w:val="0"/>
        <w:shd w:val="clear" w:color="auto" w:fill="auto"/>
        <w:bidi w:val="0"/>
        <w:spacing w:before="0" w:after="0" w:line="240" w:lineRule="auto"/>
        <w:ind w:left="0" w:right="0" w:firstLine="0"/>
        <w:jc w:val="left"/>
        <w:rPr>
          <w:sz w:val="24"/>
          <w:szCs w:val="24"/>
        </w:rPr>
      </w:pPr>
      <w:bookmarkStart w:id="0" w:name="bookmark0"/>
      <w:r>
        <w:rPr>
          <w:color w:val="000000"/>
          <w:spacing w:val="0"/>
          <w:w w:val="100"/>
          <w:position w:val="0"/>
          <w:sz w:val="32"/>
          <w:szCs w:val="32"/>
          <w:shd w:val="clear" w:color="auto" w:fill="auto"/>
          <w:lang w:val="ru-RU" w:eastAsia="ru-RU" w:bidi="ru-RU"/>
        </w:rPr>
        <w:t>111111111111111111111111</w:t>
      </w:r>
      <w:bookmarkEnd w:id="0"/>
      <w:r>
        <w:rPr>
          <w:color w:val="000000"/>
          <w:spacing w:val="0"/>
          <w:w w:val="100"/>
          <w:position w:val="0"/>
          <w:sz w:val="32"/>
          <w:szCs w:val="32"/>
          <w:shd w:val="clear" w:color="auto" w:fill="auto"/>
          <w:lang w:val="ru-RU" w:eastAsia="ru-RU" w:bidi="ru-RU"/>
        </w:rPr>
        <w:t xml:space="preserve"> </w:t>
      </w:r>
      <w:r>
        <w:rPr>
          <w:rStyle w:val="CharStyle14"/>
        </w:rPr>
        <w:t>соответствии с Законом о контрактной системе, а также при осуществлении полномочий по ведению РНП».</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пункта 2 части 2 статьи 105 Закона о контрактной системе подача жалобы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в сфере закупок (далее — ЕИС) протокола подведения итогов определения поставщика (подрядчика, исполнителя), при этом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согласно части 4 статьи 105 Закона о контрактной системе жалоба может быть подана исключительно посредством ЕИС.</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Комиссией было установлено, что</w:t>
      </w:r>
      <w:r>
        <w:fldChar w:fldCharType="begin"/>
      </w:r>
      <w:r>
        <w:rPr/>
        <w:instrText> HYPERLINK "https://zakupki.gov.ru/epz/order/notice/ea20/view/protocol/protocol-main-info.html?regNumber=0119200000124016553&amp;protocolId=46531931" </w:instrText>
      </w:r>
      <w:r>
        <w:fldChar w:fldCharType="separate"/>
      </w:r>
      <w:r>
        <w:rPr>
          <w:color w:val="000000"/>
          <w:spacing w:val="0"/>
          <w:w w:val="100"/>
          <w:position w:val="0"/>
          <w:sz w:val="24"/>
          <w:szCs w:val="24"/>
          <w:shd w:val="clear" w:color="auto" w:fill="auto"/>
          <w:lang w:val="ru-RU" w:eastAsia="ru-RU" w:bidi="ru-RU"/>
        </w:rPr>
        <w:t xml:space="preserve"> Протокол подведения итогов</w:t>
      </w:r>
      <w:r>
        <w:fldChar w:fldCharType="end"/>
      </w:r>
      <w:r>
        <w:rPr>
          <w:color w:val="000000"/>
          <w:spacing w:val="0"/>
          <w:w w:val="100"/>
          <w:position w:val="0"/>
          <w:sz w:val="24"/>
          <w:szCs w:val="24"/>
          <w:shd w:val="clear" w:color="auto" w:fill="auto"/>
          <w:lang w:val="ru-RU" w:eastAsia="ru-RU" w:bidi="ru-RU"/>
        </w:rPr>
        <w:t xml:space="preserve"> </w:t>
      </w:r>
      <w:r>
        <w:fldChar w:fldCharType="begin"/>
      </w:r>
      <w:r>
        <w:rPr/>
        <w:instrText> HYPERLINK "https://zakupki.gov.ru/epz/order/notice/ea20/view/protocol/protocol-main-info.html?regNumber=0119200000124016553&amp;protocolId=46531931" </w:instrText>
      </w:r>
      <w:r>
        <w:fldChar w:fldCharType="separate"/>
      </w:r>
      <w:r>
        <w:rPr>
          <w:color w:val="000000"/>
          <w:spacing w:val="0"/>
          <w:w w:val="100"/>
          <w:position w:val="0"/>
          <w:sz w:val="24"/>
          <w:szCs w:val="24"/>
          <w:shd w:val="clear" w:color="auto" w:fill="auto"/>
          <w:lang w:val="ru-RU" w:eastAsia="ru-RU" w:bidi="ru-RU"/>
        </w:rPr>
        <w:t xml:space="preserve">определения поставщика (подрядчика, исполнителя) от 22.10.2024 №ИЭА1 </w:t>
      </w:r>
      <w:r>
        <w:fldChar w:fldCharType="end"/>
      </w:r>
      <w:r>
        <w:rPr>
          <w:color w:val="000000"/>
          <w:spacing w:val="0"/>
          <w:w w:val="100"/>
          <w:position w:val="0"/>
          <w:sz w:val="24"/>
          <w:szCs w:val="24"/>
          <w:shd w:val="clear" w:color="auto" w:fill="auto"/>
          <w:lang w:val="ru-RU" w:eastAsia="ru-RU" w:bidi="ru-RU"/>
        </w:rPr>
        <w:t>(далее — Протокол подведения итогов) был размещен в ЕИС 22.10.2024, жалоба была подана посредством ЕИС 22.10.2024 в 18 часов 00 минут 31 секунду. В соответствии с информацией, представленной Оператором электронной площадки, общество подавало заявку на участие в закупке. Кроме того, Комиссия установила, что в соответствии с Протоколом подведения итогов заявка общества была признана аукционной комиссией соответствующей.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также установила, что податель жалобы не воспользовался своим правом отозвать жалобу в соответствии с частью 6 статьи 105 Закона о контрактной.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в соответствии с пунктом 1 части 8 статьи 105 Закона о контрактной системе жалоба принята к рассмотрению Комиссией Красноярского УФАС России.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подпунктом «а» пункта 1 части 3 статьи 99 Закона о контрактной системе Красноярское УФАС России также уполномочено на осуществление контроля в сфере закупок, в том числе через проведение внеплановых проверок субъектов контроля.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15 статьи 99 Закона о контрактной системе Комиссия проводит внеплановую проверку в случае получения обращения участника закупки с жалобой на действия (бездействие) субъектов контроля.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целях информирования о дате, месте и времени заседания Комиссии в порядке пункта 1 части 9 статьи 105 Закона о контрактной системе Комиссией в адрес Заказчика, Уполномоченного органа подателя жалобы и оператора электронной площадки 24.10.2024 было направлено уведомление МД/17376/24 о месте и времени ее рассмотрения, в уведомлении также были запрошены необходимые документы и сведения, указанное уведомление было размещено в ЕИС, таким образом, такое уведомление считается надлежащим уведомлением подателя жалобы, субъектов контроля, действия (бездействия) которых обжалуются, о дате, времени и месте рассмотрения жалобы по существу.</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1 статьи 106 Закона о контрактной системе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 заседания Комиссии Заказчиком, Уполномоченным органом и Оператором электронной площадки представлены в адрес Красноярского УФАС России запрошенные документы и сведения.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 заседания Комиссии представителем общества было заявлено ходатайство о рассмотрении жалобы с использованием средств видео-конференц-связи (далее — ВКС).</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было заявлено ходатайство о рассмотрении жалобы в отсутствие представителя Заказчика.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Ходатайства были удовлетворены Комиссией, в адрес подателя жалобы была направлена ссылка для участия в заседании Комиссии посредством ВКС.</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Заседание Комиссии состоялось 29.10.2024 в 09:30 (местное время).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заседании Комиссии присутствовал представитель Уполномоченного органа, личность и полномочия представителя подтверждены, податель жалобы в установленный срок для участия в рассмотрении жалобы посредством ВКС не подключился 29.10.2024 в 09 часов 42 минуты Комиссией был сделан скриншот, подтверждающий факт неявки подателя жалобы для участия в рассмотрении жалобы посредством ВКС. Ходатайств подателем жалобы не заявлялось.</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Рассмотрев существо жалобы, возражения Заказчика и Уполномоченного органа на жалобу, документы и сведения, представленные Заказчиком, Уполномоченным органом и Оператором электронной площадки, документы и сведения, размещенные на официальном сайте ЕИС, проведя внеплановую проверку определения поставщика (подрядчика, исполнителя),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довода подателя жалобы следует, что заявка победителя электронного аукциона не соответствует требованиям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1 статьи 49 Закона о контрактной системе электронный аукцион начинается с размещения в ЕИС извещения об осуществлении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установила, что извещение размещено в ЕИС 08.10.2024</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информацию, в том числе о наименовании объекта закупки, информации (при наличии) предусмотренной правилами использования каталога товаров, работ, услуг для обеспечения государственных и муниципальных нужд (далее — Правила использования КТРУ), утверждённых Постановлением Правительства РФ от 08.02.2017 № 145 «Об утверждении Правил формирования и ведения в ЕИС в сфере закупок КТРУ для обеспечения государственных и муниципальных нужд (далее — Правила ведения КТРУ) и Правил использования КТРУ для обеспечения государственных и муниципальных нужд» (далее — Постановление №145).</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установила, что в Извещении указано:</w:t>
      </w:r>
    </w:p>
    <w:p>
      <w:pPr>
        <w:pStyle w:val="Style13"/>
        <w:keepNext w:val="0"/>
        <w:keepLines w:val="0"/>
        <w:widowControl w:val="0"/>
        <w:numPr>
          <w:ilvl w:val="0"/>
          <w:numId w:val="1"/>
        </w:numPr>
        <w:shd w:val="clear" w:color="auto" w:fill="auto"/>
        <w:tabs>
          <w:tab w:pos="109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объекта закупки: «Поставка государственных флагов Российской Федерации»;</w:t>
      </w:r>
    </w:p>
    <w:p>
      <w:pPr>
        <w:pStyle w:val="Style13"/>
        <w:keepNext w:val="0"/>
        <w:keepLines w:val="0"/>
        <w:widowControl w:val="0"/>
        <w:numPr>
          <w:ilvl w:val="0"/>
          <w:numId w:val="1"/>
        </w:numPr>
        <w:shd w:val="clear" w:color="auto" w:fill="auto"/>
        <w:tabs>
          <w:tab w:pos="18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«флажная продукция»;</w:t>
      </w:r>
    </w:p>
    <w:p>
      <w:pPr>
        <w:pStyle w:val="Style13"/>
        <w:keepNext w:val="0"/>
        <w:keepLines w:val="0"/>
        <w:widowControl w:val="0"/>
        <w:numPr>
          <w:ilvl w:val="0"/>
          <w:numId w:val="1"/>
        </w:numPr>
        <w:shd w:val="clear" w:color="auto" w:fill="auto"/>
        <w:tabs>
          <w:tab w:pos="18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использована позиция КТРУ: 13.92.29.190-00000010 (далее — Позиция КТРУ).</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4 Правил использования КТРУ заказчики обязаны применять информацию, включенную в позицию КТРУ в соответствии с подпунктами «б» - «г» и «е» - «з» пункта 10 Правил ведения КТРУ.</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установлено, Позиция КТРУ включена в КТРУ 03.07.2024 16:14 (МСК), обязательна к применению с 30.09.2024 по — бессрочно.</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Наименования товара в по Позиции КТРУ: Флажная продукция.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Единица измерения в Позициии КТРУ: Штука.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Вид флага (знамени) в Позициии КТРУ: Знамя Победы, Знамя Российской Федерации, Знамя города Российской Федерации, Знамя субъекта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Вид флажной продукции в Позициии КТРУ: Знамя.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Позиция КТРУ содержит значение общероссийский классификатор продукции по видам экономической деятельности 13.92.29.190 (далее — Значение ОКПД).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установлено, что в соответствии с извещением Заказчиком применена характеристика из КТРУ: Знамя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Таким образом, в соответствии с Позицией КТРУ Знамя Российской Федерации является </w:t>
      </w:r>
      <w:r>
        <w:rPr>
          <w:color w:val="000000"/>
          <w:spacing w:val="0"/>
          <w:w w:val="100"/>
          <w:position w:val="0"/>
          <w:sz w:val="24"/>
          <w:szCs w:val="24"/>
          <w:shd w:val="clear" w:color="auto" w:fill="auto"/>
          <w:lang w:val="ru-RU" w:eastAsia="ru-RU" w:bidi="ru-RU"/>
        </w:rPr>
        <w:t>одним из видов флага (знамени), входящего в Позицию КТРУ — флажная продукция, соответственно, понятие флажная продукция является общим для понятия Знамя Российской Федерации, а Знамя Российской Федерации-специальным по отношению к флажной продукции, вместе с тем понятие Знамя Российской Федерации полностью поглощается понятием флажной продукции, некорректным является утверждение, что понятие Знамя Российской Федерации не включено в понятие флажной продукции.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обращает внимание, что потребностью Заказчика является именно специальное понятие - Знамя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Постановления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№616 (далее - Перечень).</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установила, что Значение ОКПД 13.92.29.190 входит в Перечень (позиция 2 Перечня), таким образом, запрет, в соответствии с положениями Постановления №616, правомерно был установлен в Извещении.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6 Постановления №616 подтверждением производства продукции на территории Российской Федерации является: наличие сведений о такой продукции в реестре российской промышленной продукции.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10 Постановления №616 установлено, что подтверждением включения сведений в реестр российской промышленной продукции является реестровая запись реестра российской промышленной продукции, сформированная в государственной информационной системе промышленности в соответствии с постановлением Правительства Российской Федерации, при этом для подтверждения соответствия закупки промышленных товаров требованиям, установленным пунктом 10 Постановления №616,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участник закупки для соответствия требованиям Постановления №616 должен декларировать в составе заявки номера реестровой записи из реестра российской промышленной продукции.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установлено, что в соответствии с информацией, представленной Уполномоченным органом, победителем электронного аукциона был декларирован номер реестровой записи в реестре российской промышленной продукции №3437\1\2023 (далее — Номер записи). Комиссией было установлено, что Номеру записи соответствует выписка №10345560 от 29.10.2024 в отношении производимой промышленной продукции: флаги (далее - Выписка).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Кроме того, Комиссия отмечает, что в Выписке указана продукция: флаги, потребностью Заказчика является приобретения Знамени Российской Федерации, применённая позиция КТРУ — флажная продукция предусматривает вид: Знамя Российской Федерации и характеристику: Знамени Российской Федерации. Потребностью Заказчика является не общее понятие: флажная </w:t>
      </w:r>
      <w:r>
        <w:rPr>
          <w:color w:val="000000"/>
          <w:spacing w:val="0"/>
          <w:w w:val="100"/>
          <w:position w:val="0"/>
          <w:sz w:val="24"/>
          <w:szCs w:val="24"/>
          <w:shd w:val="clear" w:color="auto" w:fill="auto"/>
          <w:lang w:val="ru-RU" w:eastAsia="ru-RU" w:bidi="ru-RU"/>
        </w:rPr>
        <w:t>продукция, а специальное понятие: Знамя Российской Федерации, таким образом, учитывая соотношение указанных понятий, участник закупки был вправе предоставить в составе заявки выписку из реестра российской промышленной продукции именно на флаги.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заявка победителя соответствует требованиям Постановления №616, довод подателя жалобы не обоснован.</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выдает (при необходимости) предписание об устранении допущенных нарушений.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не установлено нарушений при осуществлении рассматриваемой закупки, основания для выдачи предписания не установлены.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общества с ограниченной ответственностью «Флажность» необоснованной.</w:t>
      </w:r>
    </w:p>
    <w:p>
      <w:pPr>
        <w:pStyle w:val="Style13"/>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tabs>
          <w:tab w:pos="8640"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13"/>
        <w:keepNext w:val="0"/>
        <w:keepLines w:val="0"/>
        <w:widowControl w:val="0"/>
        <w:shd w:val="clear" w:color="auto" w:fill="auto"/>
        <w:tabs>
          <w:tab w:pos="8640"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Е.М. Хоменко</w:t>
      </w:r>
    </w:p>
    <w:p>
      <w:pPr>
        <w:pStyle w:val="Style13"/>
        <w:keepNext w:val="0"/>
        <w:keepLines w:val="0"/>
        <w:widowControl w:val="0"/>
        <w:shd w:val="clear" w:color="auto" w:fill="auto"/>
        <w:bidi w:val="0"/>
        <w:spacing w:before="0" w:after="7080" w:line="240" w:lineRule="auto"/>
        <w:ind w:left="0" w:right="0" w:firstLine="0"/>
        <w:jc w:val="right"/>
      </w:pPr>
      <w:r>
        <w:rPr>
          <w:color w:val="000000"/>
          <w:spacing w:val="0"/>
          <w:w w:val="100"/>
          <w:position w:val="0"/>
          <w:sz w:val="24"/>
          <w:szCs w:val="24"/>
          <w:shd w:val="clear" w:color="auto" w:fill="auto"/>
          <w:lang w:val="ru-RU" w:eastAsia="ru-RU" w:bidi="ru-RU"/>
        </w:rPr>
        <w:t>А.Р. Мулагалеев</w:t>
      </w:r>
    </w:p>
    <w:p>
      <w:pPr>
        <w:pStyle w:val="Style8"/>
        <w:keepNext w:val="0"/>
        <w:keepLines w:val="0"/>
        <w:widowControl w:val="0"/>
        <w:shd w:val="clear" w:color="auto" w:fill="auto"/>
        <w:bidi w:val="0"/>
        <w:spacing w:before="0" w:after="52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Исп.Мулагалеев А.Р. тел.8(391)2110144.</w:t>
      </w:r>
    </w:p>
    <w:sectPr>
      <w:footnotePr>
        <w:pos w:val="pageBottom"/>
        <w:numFmt w:val="decimal"/>
        <w:numRestart w:val="continuous"/>
      </w:footnotePr>
      <w:type w:val="continuous"/>
      <w:pgSz w:w="11900" w:h="16840"/>
      <w:pgMar w:top="333" w:right="534" w:bottom="1182"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10009505</wp:posOffset>
              </wp:positionV>
              <wp:extent cx="3267710" cy="103505"/>
              <wp:wrapNone/>
              <wp:docPr id="3" name="Shape 3"/>
              <a:graphic xmlns:a="http://schemas.openxmlformats.org/drawingml/2006/main">
                <a:graphicData uri="http://schemas.microsoft.com/office/word/2010/wordprocessingShape">
                  <wps:wsp>
                    <wps:cNvSpPr txBox="1"/>
                    <wps:spPr>
                      <a:xfrm>
                        <a:ext cx="3267710" cy="103505"/>
                      </a:xfrm>
                      <a:prstGeom prst="rect"/>
                      <a:noFill/>
                    </wps:spPr>
                    <wps:txbx>
                      <w:txbxContent>
                        <w:p>
                          <w:pPr>
                            <w:pStyle w:val="Style2"/>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2024-18554</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99999999999999pt;margin-top:788.14999999999998pt;width:257.30000000000001pt;height:8.1500000000000004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2024-18554</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2024-18554</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2024-18554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2"/>
      <w:szCs w:val="3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210"/>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34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