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494030" cy="59118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494030" cy="591185"/>
                    </a:xfrm>
                    <a:prstGeom prst="rect"/>
                  </pic:spPr>
                </pic:pic>
              </a:graphicData>
            </a:graphic>
          </wp:inline>
        </w:drawing>
      </w:r>
    </w:p>
    <w:p>
      <w:pPr>
        <w:widowControl w:val="0"/>
        <w:spacing w:after="179" w:line="1" w:lineRule="exact"/>
      </w:pPr>
    </w:p>
    <w:p>
      <w:pPr>
        <w:pStyle w:val="Style5"/>
        <w:keepNext w:val="0"/>
        <w:keepLines w:val="0"/>
        <w:widowControl w:val="0"/>
        <w:shd w:val="clear" w:color="auto" w:fill="auto"/>
        <w:bidi w:val="0"/>
        <w:spacing w:before="0" w:after="0" w:line="240" w:lineRule="auto"/>
        <w:ind w:left="0" w:right="0" w:firstLine="0"/>
        <w:jc w:val="center"/>
        <w:rPr>
          <w:sz w:val="16"/>
          <w:szCs w:val="16"/>
        </w:rPr>
      </w:pPr>
      <w:r>
        <w:rPr>
          <w:b/>
          <w:bCs/>
          <w:color w:val="272727"/>
          <w:spacing w:val="0"/>
          <w:w w:val="100"/>
          <w:position w:val="0"/>
          <w:sz w:val="16"/>
          <w:szCs w:val="16"/>
          <w:shd w:val="clear" w:color="auto" w:fill="auto"/>
          <w:lang w:val="ru-RU" w:eastAsia="ru-RU" w:bidi="ru-RU"/>
        </w:rPr>
        <w:t>ФЕДЕРАЛЬНАЯ</w:t>
      </w:r>
    </w:p>
    <w:p>
      <w:pPr>
        <w:pStyle w:val="Style5"/>
        <w:keepNext w:val="0"/>
        <w:keepLines w:val="0"/>
        <w:widowControl w:val="0"/>
        <w:shd w:val="clear" w:color="auto" w:fill="auto"/>
        <w:bidi w:val="0"/>
        <w:spacing w:before="0" w:after="180" w:line="240" w:lineRule="auto"/>
        <w:ind w:left="0" w:right="0" w:firstLine="300"/>
        <w:jc w:val="left"/>
        <w:rPr>
          <w:sz w:val="16"/>
          <w:szCs w:val="16"/>
        </w:rPr>
      </w:pPr>
      <w:r>
        <w:rPr>
          <w:b/>
          <w:bCs/>
          <w:color w:val="272727"/>
          <w:spacing w:val="0"/>
          <w:w w:val="100"/>
          <w:position w:val="0"/>
          <w:sz w:val="16"/>
          <w:szCs w:val="16"/>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уд. Победы. </w:t>
      </w:r>
      <w:r>
        <w:rPr>
          <w:color w:val="000000"/>
          <w:spacing w:val="0"/>
          <w:w w:val="100"/>
          <w:position w:val="0"/>
          <w:shd w:val="clear" w:color="auto" w:fill="auto"/>
          <w:lang w:val="ru-RU" w:eastAsia="ru-RU" w:bidi="ru-RU"/>
        </w:rPr>
        <w:t xml:space="preserve">3. </w:t>
      </w:r>
      <w:r>
        <w:rPr>
          <w:spacing w:val="0"/>
          <w:w w:val="100"/>
          <w:position w:val="0"/>
          <w:shd w:val="clear" w:color="auto" w:fill="auto"/>
          <w:lang w:val="ru-RU" w:eastAsia="ru-RU" w:bidi="ru-RU"/>
        </w:rPr>
        <w:t>корп. «С»</w:t>
        <w:br/>
        <w:t xml:space="preserve">г. Назрань, </w:t>
      </w:r>
      <w:r>
        <w:rPr>
          <w:color w:val="595959"/>
          <w:spacing w:val="0"/>
          <w:w w:val="100"/>
          <w:position w:val="0"/>
          <w:shd w:val="clear" w:color="auto" w:fill="auto"/>
          <w:lang w:val="ru-RU" w:eastAsia="ru-RU" w:bidi="ru-RU"/>
        </w:rPr>
        <w:t>386]</w:t>
      </w:r>
      <w:r>
        <w:rPr>
          <w:spacing w:val="0"/>
          <w:w w:val="100"/>
          <w:position w:val="0"/>
          <w:shd w:val="clear" w:color="auto" w:fill="auto"/>
          <w:lang w:val="ru-RU" w:eastAsia="ru-RU" w:bidi="ru-RU"/>
        </w:rPr>
        <w:t>02</w:t>
        <w:br/>
        <w:t xml:space="preserve">тел ./факс </w:t>
      </w:r>
      <w:r>
        <w:rPr>
          <w:color w:val="595959"/>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8732) 22-87-28</w:t>
        <w:br/>
        <w:t xml:space="preserve">е-тай: </w:t>
      </w:r>
      <w:r>
        <w:fldChar w:fldCharType="begin"/>
      </w:r>
      <w:r>
        <w:rPr/>
        <w:instrText> HYPERLINK "mailto:to06@fas.gov.ru" </w:instrText>
      </w:r>
      <w:r>
        <w:fldChar w:fldCharType="separate"/>
      </w:r>
      <w:r>
        <w:rPr>
          <w:spacing w:val="0"/>
          <w:w w:val="100"/>
          <w:position w:val="0"/>
          <w:shd w:val="clear" w:color="auto" w:fill="auto"/>
          <w:lang w:val="ru-RU" w:eastAsia="ru-RU" w:bidi="ru-RU"/>
        </w:rPr>
        <w:t>1о06@Га5.»оу.П1</w:t>
      </w:r>
      <w:r>
        <w:fldChar w:fldCharType="end"/>
      </w:r>
    </w:p>
    <w:p>
      <w:pPr>
        <w:pStyle w:val="Style12"/>
        <w:keepNext/>
        <w:keepLines/>
        <w:widowControl w:val="0"/>
        <w:shd w:val="clear" w:color="auto" w:fill="auto"/>
        <w:bidi w:val="0"/>
        <w:spacing w:before="0" w:line="240" w:lineRule="auto"/>
        <w:ind w:left="0" w:right="0" w:firstLine="0"/>
        <w:jc w:val="right"/>
      </w:pPr>
      <w:bookmarkStart w:id="0" w:name="bookmark0"/>
      <w:r>
        <w:rPr>
          <w:i/>
          <w:iCs/>
          <w:spacing w:val="0"/>
          <w:w w:val="100"/>
          <w:position w:val="0"/>
          <w:sz w:val="19"/>
          <w:szCs w:val="19"/>
          <w:u w:val="none"/>
          <w:shd w:val="clear" w:color="auto" w:fill="auto"/>
          <w:lang w:val="ru-RU" w:eastAsia="ru-RU" w:bidi="ru-RU"/>
        </w:rPr>
        <w:t xml:space="preserve">№ </w:t>
      </w:r>
      <w:r>
        <w:rPr>
          <w:i/>
          <w:iCs/>
          <w:spacing w:val="0"/>
          <w:w w:val="100"/>
          <w:position w:val="0"/>
          <w:sz w:val="19"/>
          <w:szCs w:val="19"/>
          <w:shd w:val="clear" w:color="auto" w:fill="auto"/>
          <w:lang w:val="ru-RU" w:eastAsia="ru-RU" w:bidi="ru-RU"/>
        </w:rPr>
        <w:t>Ч'</w:t>
      </w:r>
      <w:r>
        <w:rPr>
          <w:spacing w:val="0"/>
          <w:w w:val="100"/>
          <w:position w:val="0"/>
          <w:shd w:val="clear" w:color="auto" w:fill="auto"/>
          <w:lang w:val="ru-RU" w:eastAsia="ru-RU" w:bidi="ru-RU"/>
        </w:rPr>
        <w:t>/жо/а</w:t>
      </w:r>
      <w:r>
        <w:rPr>
          <w:spacing w:val="0"/>
          <w:w w:val="100"/>
          <w:position w:val="0"/>
          <w:u w:val="none"/>
          <w:shd w:val="clear" w:color="auto" w:fill="auto"/>
          <w:lang w:val="ru-RU" w:eastAsia="ru-RU" w:bidi="ru-RU"/>
        </w:rPr>
        <w:t>ч</w:t>
      </w:r>
      <w:bookmarkEnd w:id="0"/>
    </w:p>
    <w:p>
      <w:pPr>
        <w:pStyle w:val="Style8"/>
        <w:keepNext w:val="0"/>
        <w:keepLines w:val="0"/>
        <w:widowControl w:val="0"/>
        <w:shd w:val="clear" w:color="auto" w:fill="auto"/>
        <w:bidi w:val="0"/>
        <w:spacing w:before="0" w:after="0" w:line="240" w:lineRule="auto"/>
        <w:ind w:left="0" w:right="0" w:hanging="320"/>
        <w:jc w:val="left"/>
        <w:rPr>
          <w:sz w:val="19"/>
          <w:szCs w:val="19"/>
        </w:rPr>
      </w:pPr>
      <w:r>
        <w:rPr>
          <w:b w:val="0"/>
          <w:bCs w:val="0"/>
          <w:spacing w:val="0"/>
          <w:w w:val="100"/>
          <w:position w:val="0"/>
          <w:sz w:val="19"/>
          <w:szCs w:val="19"/>
          <w:shd w:val="clear" w:color="auto" w:fill="auto"/>
          <w:lang w:val="ru-RU" w:eastAsia="ru-RU" w:bidi="ru-RU"/>
        </w:rPr>
        <w:t xml:space="preserve">На №  от</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Заявитель:</w:t>
      </w:r>
    </w:p>
    <w:p>
      <w:pPr>
        <w:pStyle w:val="Style18"/>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ООО «Апгрейт»</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w:t>
      </w:r>
    </w:p>
    <w:p>
      <w:pPr>
        <w:pStyle w:val="Style18"/>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ГБУ «ИРКБ имени А.О. Ахушкова»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Уполномоченный орган:</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Комитет государственного заказа</w:t>
      </w:r>
    </w:p>
    <w:p>
      <w:pPr>
        <w:pStyle w:val="Style18"/>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Республики Ингушетия</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Электронная торговая площадка: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АО«ЕЭТП»</w:t>
      </w:r>
    </w:p>
    <w:p>
      <w:pPr>
        <w:pStyle w:val="Style18"/>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639" w:right="1216" w:bottom="1408" w:left="1779" w:header="0" w:footer="3" w:gutter="0"/>
          <w:pgNumType w:start="1"/>
          <w:cols w:num="2" w:space="720" w:equalWidth="0">
            <w:col w:w="3653" w:space="1094"/>
            <w:col w:w="4157"/>
          </w:cols>
          <w:noEndnote/>
          <w:titlePg/>
          <w:rtlGutter w:val="0"/>
          <w:docGrid w:linePitch="360"/>
        </w:sectPr>
      </w:pPr>
      <w:r>
        <w:rPr>
          <w:color w:val="000000"/>
          <w:spacing w:val="0"/>
          <w:w w:val="100"/>
          <w:position w:val="0"/>
          <w:shd w:val="clear" w:color="auto" w:fill="auto"/>
          <w:lang w:val="ru-RU" w:eastAsia="ru-RU" w:bidi="ru-RU"/>
        </w:rPr>
        <w:t xml:space="preserve">(Ьйр </w:t>
      </w:r>
      <w:r>
        <w:rPr>
          <w:color w:val="000000"/>
          <w:spacing w:val="0"/>
          <w:w w:val="100"/>
          <w:position w:val="0"/>
          <w:shd w:val="clear" w:color="auto" w:fill="auto"/>
          <w:lang w:val="ru-RU" w:eastAsia="ru-RU" w:bidi="ru-RU"/>
        </w:rPr>
        <w:t>://гозе11ог§.ги</w:t>
      </w:r>
      <w:r>
        <w:rPr>
          <w:color w:val="000000"/>
          <w:spacing w:val="0"/>
          <w:w w:val="100"/>
          <w:position w:val="0"/>
          <w:shd w:val="clear" w:color="auto" w:fill="auto"/>
          <w:lang w:val="ru-RU" w:eastAsia="ru-RU" w:bidi="ru-RU"/>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1" w:right="0" w:bottom="1097" w:left="0" w:header="0" w:footer="3" w:gutter="0"/>
          <w:cols w:space="720"/>
          <w:noEndnote/>
          <w:rtlGutter w:val="0"/>
          <w:docGrid w:linePitch="360"/>
        </w:sectPr>
      </w:pPr>
    </w:p>
    <w:p>
      <w:pPr>
        <w:pStyle w:val="Style18"/>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РЕШЕНИЕ</w:t>
        <w:br/>
        <w:t>по делу №006/06/106-591/2024 о нарушении</w:t>
        <w:br/>
        <w:t>законодательства о контрактной системе</w:t>
      </w:r>
    </w:p>
    <w:p>
      <w:pPr>
        <w:pStyle w:val="Style18"/>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«29» октября 2024 года</w:t>
      </w:r>
    </w:p>
    <w:p>
      <w:pPr>
        <w:pStyle w:val="Style18"/>
        <w:keepNext w:val="0"/>
        <w:keepLines w:val="0"/>
        <w:widowControl w:val="0"/>
        <w:shd w:val="clear" w:color="auto" w:fill="auto"/>
        <w:tabs>
          <w:tab w:pos="8573" w:val="left"/>
        </w:tabs>
        <w:bidi w:val="0"/>
        <w:spacing w:before="0" w:after="300" w:line="254"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«01» ноября 2024 года</w:t>
        <w:tab/>
        <w:t>г. Назрань</w:t>
      </w:r>
    </w:p>
    <w:p>
      <w:pPr>
        <w:pStyle w:val="Style1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8"/>
        <w:keepNext w:val="0"/>
        <w:keepLines w:val="0"/>
        <w:widowControl w:val="0"/>
        <w:shd w:val="clear" w:color="auto" w:fill="auto"/>
        <w:bidi w:val="0"/>
        <w:spacing w:before="0" w:after="0" w:line="254" w:lineRule="auto"/>
        <w:ind w:left="0" w:right="0" w:firstLine="700"/>
        <w:jc w:val="left"/>
      </w:pPr>
      <w:r>
        <w:rPr>
          <w:color w:val="000000"/>
          <w:spacing w:val="0"/>
          <w:w w:val="100"/>
          <w:position w:val="0"/>
          <w:shd w:val="clear" w:color="auto" w:fill="auto"/>
          <w:lang w:val="ru-RU" w:eastAsia="ru-RU" w:bidi="ru-RU"/>
        </w:rPr>
        <w:t>Председатель комиссии: Р.В. Евлоев - Врио руководителя,</w:t>
      </w:r>
    </w:p>
    <w:p>
      <w:pPr>
        <w:pStyle w:val="Style18"/>
        <w:keepNext w:val="0"/>
        <w:keepLines w:val="0"/>
        <w:widowControl w:val="0"/>
        <w:shd w:val="clear" w:color="auto" w:fill="auto"/>
        <w:tabs>
          <w:tab w:pos="3537" w:val="left"/>
        </w:tabs>
        <w:bidi w:val="0"/>
        <w:spacing w:before="0" w:after="0" w:line="254" w:lineRule="auto"/>
        <w:ind w:left="0" w:right="0" w:firstLine="700"/>
        <w:jc w:val="left"/>
      </w:pPr>
      <w:r>
        <w:rPr>
          <w:color w:val="000000"/>
          <w:spacing w:val="0"/>
          <w:w w:val="100"/>
          <w:position w:val="0"/>
          <w:shd w:val="clear" w:color="auto" w:fill="auto"/>
          <w:lang w:val="ru-RU" w:eastAsia="ru-RU" w:bidi="ru-RU"/>
        </w:rPr>
        <w:t>Члены комиссии:</w:t>
        <w:tab/>
        <w:t>М.М. Точиев - главный специалист- эксперт,</w:t>
      </w:r>
    </w:p>
    <w:p>
      <w:pPr>
        <w:pStyle w:val="Style18"/>
        <w:keepNext w:val="0"/>
        <w:keepLines w:val="0"/>
        <w:widowControl w:val="0"/>
        <w:shd w:val="clear" w:color="auto" w:fill="auto"/>
        <w:bidi w:val="0"/>
        <w:spacing w:before="0" w:after="0" w:line="254" w:lineRule="auto"/>
        <w:ind w:left="3500" w:right="0" w:firstLine="0"/>
        <w:jc w:val="left"/>
      </w:pPr>
      <w:r>
        <w:rPr>
          <w:color w:val="000000"/>
          <w:spacing w:val="0"/>
          <w:w w:val="100"/>
          <w:position w:val="0"/>
          <w:shd w:val="clear" w:color="auto" w:fill="auto"/>
          <w:lang w:val="ru-RU" w:eastAsia="ru-RU" w:bidi="ru-RU"/>
        </w:rPr>
        <w:t>А.Б. Торшкоев— ведущий специалист- эксперт,</w:t>
      </w:r>
    </w:p>
    <w:p>
      <w:pPr>
        <w:pStyle w:val="Style18"/>
        <w:keepNext w:val="0"/>
        <w:keepLines w:val="0"/>
        <w:widowControl w:val="0"/>
        <w:shd w:val="clear" w:color="auto" w:fill="auto"/>
        <w:bidi w:val="0"/>
        <w:spacing w:before="0" w:after="0" w:line="254" w:lineRule="auto"/>
        <w:ind w:left="0" w:right="0" w:firstLine="700"/>
        <w:jc w:val="left"/>
      </w:pPr>
      <w:r>
        <w:rPr>
          <w:color w:val="000000"/>
          <w:spacing w:val="0"/>
          <w:w w:val="100"/>
          <w:position w:val="0"/>
          <w:shd w:val="clear" w:color="auto" w:fill="auto"/>
          <w:lang w:val="ru-RU" w:eastAsia="ru-RU" w:bidi="ru-RU"/>
        </w:rPr>
        <w:t>в присутствии представителей:</w:t>
      </w:r>
    </w:p>
    <w:p>
      <w:pPr>
        <w:pStyle w:val="Style18"/>
        <w:keepNext w:val="0"/>
        <w:keepLines w:val="0"/>
        <w:widowControl w:val="0"/>
        <w:shd w:val="clear" w:color="auto" w:fill="auto"/>
        <w:tabs>
          <w:tab w:pos="4492" w:val="left"/>
          <w:tab w:pos="7696" w:val="left"/>
        </w:tabs>
        <w:bidi w:val="0"/>
        <w:spacing w:before="0" w:after="0" w:line="254" w:lineRule="auto"/>
        <w:ind w:left="0" w:right="0" w:firstLine="700"/>
        <w:jc w:val="left"/>
      </w:pPr>
      <w:r>
        <w:rPr>
          <w:color w:val="000000"/>
          <w:spacing w:val="0"/>
          <w:w w:val="100"/>
          <w:position w:val="0"/>
          <w:shd w:val="clear" w:color="auto" w:fill="auto"/>
          <w:lang w:val="ru-RU" w:eastAsia="ru-RU" w:bidi="ru-RU"/>
        </w:rPr>
        <w:t>заявителя-000 «Апгрейт»</w:t>
        <w:tab/>
        <w:t>(далее-Заявитель)—Д.А.</w:t>
        <w:tab/>
        <w:t>Барабанова (пс</w:t>
      </w:r>
    </w:p>
    <w:p>
      <w:pPr>
        <w:pStyle w:val="Style18"/>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доверенности);</w:t>
      </w:r>
    </w:p>
    <w:p>
      <w:pPr>
        <w:pStyle w:val="Style18"/>
        <w:keepNext w:val="0"/>
        <w:keepLines w:val="0"/>
        <w:widowControl w:val="0"/>
        <w:shd w:val="clear" w:color="auto" w:fill="auto"/>
        <w:bidi w:val="0"/>
        <w:spacing w:before="0" w:after="0" w:line="266" w:lineRule="auto"/>
        <w:ind w:left="0" w:right="0" w:firstLine="700"/>
        <w:jc w:val="left"/>
      </w:pPr>
      <w:r>
        <w:rPr>
          <w:color w:val="000000"/>
          <w:spacing w:val="0"/>
          <w:w w:val="100"/>
          <w:position w:val="0"/>
          <w:shd w:val="clear" w:color="auto" w:fill="auto"/>
          <w:lang w:val="ru-RU" w:eastAsia="ru-RU" w:bidi="ru-RU"/>
        </w:rPr>
        <w:t>заказчика-ГБУ «ИРКБ имени А.О. Ахушкова»(далее-Заказчик)-А.Г. Арчаков? (по доверенности);</w:t>
      </w:r>
    </w:p>
    <w:p>
      <w:pPr>
        <w:pStyle w:val="Style18"/>
        <w:keepNext w:val="0"/>
        <w:keepLines w:val="0"/>
        <w:widowControl w:val="0"/>
        <w:shd w:val="clear" w:color="auto" w:fill="auto"/>
        <w:tabs>
          <w:tab w:pos="7696" w:val="left"/>
        </w:tabs>
        <w:bidi w:val="0"/>
        <w:spacing w:before="0" w:after="0" w:line="257" w:lineRule="auto"/>
        <w:ind w:left="0" w:right="0" w:firstLine="700"/>
        <w:jc w:val="left"/>
      </w:pPr>
      <w:r>
        <w:rPr>
          <w:color w:val="000000"/>
          <w:spacing w:val="0"/>
          <w:w w:val="100"/>
          <w:position w:val="0"/>
          <w:shd w:val="clear" w:color="auto" w:fill="auto"/>
          <w:lang w:val="ru-RU" w:eastAsia="ru-RU" w:bidi="ru-RU"/>
        </w:rPr>
        <w:t>в отсутствии представителя уполномоченного</w:t>
        <w:tab/>
        <w:t>органа—Комитет?</w:t>
      </w:r>
    </w:p>
    <w:p>
      <w:pPr>
        <w:pStyle w:val="Style18"/>
        <w:keepNext w:val="0"/>
        <w:keepLines w:val="0"/>
        <w:widowControl w:val="0"/>
        <w:shd w:val="clear" w:color="auto" w:fill="auto"/>
        <w:bidi w:val="0"/>
        <w:spacing w:before="0" w:after="80" w:line="257" w:lineRule="auto"/>
        <w:ind w:left="0" w:right="0" w:firstLine="0"/>
        <w:jc w:val="left"/>
      </w:pPr>
      <w:r>
        <w:rPr>
          <w:color w:val="000000"/>
          <w:spacing w:val="0"/>
          <w:w w:val="100"/>
          <w:position w:val="0"/>
          <w:shd w:val="clear" w:color="auto" w:fill="auto"/>
          <w:lang w:val="ru-RU" w:eastAsia="ru-RU" w:bidi="ru-RU"/>
        </w:rPr>
        <w:t>государственного заказа Республики Ингушетия (далее - Уполномоченный орган), все стороны уведомлены надлежащим образом, заявлений и ходатайств не поступало,</w:t>
      </w:r>
    </w:p>
    <w:p>
      <w:pPr>
        <w:pStyle w:val="Style22"/>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8"/>
        <w:keepNext w:val="0"/>
        <w:keepLines w:val="0"/>
        <w:widowControl w:val="0"/>
        <w:shd w:val="clear" w:color="auto" w:fill="auto"/>
        <w:bidi w:val="0"/>
        <w:spacing w:before="0" w:after="100" w:line="240" w:lineRule="auto"/>
        <w:ind w:left="0" w:right="0" w:firstLine="700"/>
        <w:jc w:val="both"/>
      </w:pPr>
      <w:r>
        <w:rPr>
          <w:color w:val="000000"/>
          <w:spacing w:val="0"/>
          <w:w w:val="100"/>
          <w:position w:val="0"/>
          <w:shd w:val="clear" w:color="auto" w:fill="auto"/>
          <w:lang w:val="ru-RU" w:eastAsia="ru-RU" w:bidi="ru-RU"/>
        </w:rPr>
        <w:t xml:space="preserve">рассмотрев жалобу Заявителя на действия (бездействия) Заказчика и Уполномоченного органа) при проведении процедуры закупки №0114500000824002045 (объект закупки: поставка медицинских изделий, ввод в эксплуатацию медицинских изделий, обучение правилам эксплуатации специалистов, эксплуатирующих медицинское изделие, для ГБУ «Ингушская </w:t>
      </w:r>
      <w:r>
        <w:rPr>
          <w:color w:val="3B3B3B"/>
          <w:spacing w:val="0"/>
          <w:w w:val="100"/>
          <w:position w:val="0"/>
          <w:shd w:val="clear" w:color="auto" w:fill="auto"/>
          <w:lang w:val="ru-RU" w:eastAsia="ru-RU" w:bidi="ru-RU"/>
        </w:rPr>
        <w:t xml:space="preserve">I </w:t>
      </w:r>
      <w:r>
        <w:rPr>
          <w:color w:val="000000"/>
          <w:spacing w:val="0"/>
          <w:w w:val="100"/>
          <w:position w:val="0"/>
          <w:shd w:val="clear" w:color="auto" w:fill="auto"/>
          <w:lang w:val="ru-RU" w:eastAsia="ru-RU" w:bidi="ru-RU"/>
        </w:rPr>
        <w:t>республиканская клиническая больница имени А.О. Ахушкова») (далее - Закупка), выразившиеся в нарушении норм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8"/>
        <w:keepNext w:val="0"/>
        <w:keepLines w:val="0"/>
        <w:widowControl w:val="0"/>
        <w:shd w:val="clear" w:color="auto" w:fill="auto"/>
        <w:bidi w:val="0"/>
        <w:spacing w:before="0" w:after="1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Заказчиком в Единой информационной системе в сети «Интернет» по размещению информации о размещении заказов </w:t>
      </w:r>
      <w:r>
        <w:fldChar w:fldCharType="begin"/>
      </w:r>
      <w:r>
        <w:rPr/>
        <w:instrText> HYPERLINK "https://zakupki.gov.ru" </w:instrText>
      </w:r>
      <w:r>
        <w:fldChar w:fldCharType="separate"/>
      </w:r>
      <w:r>
        <w:rPr>
          <w:color w:val="000000"/>
          <w:spacing w:val="0"/>
          <w:w w:val="100"/>
          <w:position w:val="0"/>
          <w:shd w:val="clear" w:color="auto" w:fill="auto"/>
          <w:lang w:val="ru-RU" w:eastAsia="ru-RU" w:bidi="ru-RU"/>
        </w:rPr>
        <w:t>11йр8://2акирк1.§оу.ги</w:t>
      </w:r>
      <w:r>
        <w:fldChar w:fldCharType="end"/>
      </w:r>
      <w:r>
        <w:rPr>
          <w:color w:val="000000"/>
          <w:spacing w:val="0"/>
          <w:w w:val="100"/>
          <w:position w:val="0"/>
          <w:shd w:val="clear" w:color="auto" w:fill="auto"/>
          <w:lang w:val="ru-RU" w:eastAsia="ru-RU" w:bidi="ru-RU"/>
        </w:rPr>
        <w:t xml:space="preserve"> (далее-ЕИС) размещено извещение о проведении Закупки.</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жалобе, под описание объекта закупки не подходит ни однин производитель.</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ходе осуществления внеплановой проверки Комиссия Управления установила следующее.</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извещением об осуществлении закупки, документацией а закупке, протоколами, составленными при определении поставщика (подрядчика, исполнителя):</w:t>
      </w:r>
    </w:p>
    <w:p>
      <w:pPr>
        <w:pStyle w:val="Style18"/>
        <w:keepNext w:val="0"/>
        <w:keepLines w:val="0"/>
        <w:widowControl w:val="0"/>
        <w:numPr>
          <w:ilvl w:val="0"/>
          <w:numId w:val="1"/>
        </w:numPr>
        <w:shd w:val="clear" w:color="auto" w:fill="auto"/>
        <w:tabs>
          <w:tab w:pos="1002" w:val="left"/>
        </w:tabs>
        <w:bidi w:val="0"/>
        <w:spacing w:before="0" w:after="0" w:line="240" w:lineRule="auto"/>
        <w:ind w:left="0" w:right="0" w:firstLine="680"/>
        <w:jc w:val="left"/>
      </w:pPr>
      <w:r>
        <w:rPr>
          <w:color w:val="000000"/>
          <w:spacing w:val="0"/>
          <w:w w:val="100"/>
          <w:position w:val="0"/>
          <w:shd w:val="clear" w:color="auto" w:fill="auto"/>
          <w:lang w:val="ru-RU" w:eastAsia="ru-RU" w:bidi="ru-RU"/>
        </w:rPr>
        <w:t>извещение об осуществлении закупки размещено в ЕИС - 14.10.2024;</w:t>
      </w:r>
    </w:p>
    <w:p>
      <w:pPr>
        <w:pStyle w:val="Style18"/>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8"/>
        <w:keepNext w:val="0"/>
        <w:keepLines w:val="0"/>
        <w:widowControl w:val="0"/>
        <w:numPr>
          <w:ilvl w:val="0"/>
          <w:numId w:val="1"/>
        </w:numPr>
        <w:shd w:val="clear" w:color="auto" w:fill="auto"/>
        <w:tabs>
          <w:tab w:pos="102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начальная (максимальная) цена контракта - 6 159 384,00 рублей;</w:t>
      </w:r>
    </w:p>
    <w:p>
      <w:pPr>
        <w:pStyle w:val="Style18"/>
        <w:keepNext w:val="0"/>
        <w:keepLines w:val="0"/>
        <w:widowControl w:val="0"/>
        <w:numPr>
          <w:ilvl w:val="0"/>
          <w:numId w:val="1"/>
        </w:numPr>
        <w:shd w:val="clear" w:color="auto" w:fill="auto"/>
        <w:tabs>
          <w:tab w:pos="102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дата и время окончания подачи заявок - 14.10.2024 14:44 (МСК);</w:t>
      </w:r>
    </w:p>
    <w:p>
      <w:pPr>
        <w:pStyle w:val="Style18"/>
        <w:keepNext w:val="0"/>
        <w:keepLines w:val="0"/>
        <w:widowControl w:val="0"/>
        <w:numPr>
          <w:ilvl w:val="0"/>
          <w:numId w:val="1"/>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I -24.10.2024.</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28.10.2024г. Комиссией Управления был объявлен перерыв в проведение внеплановой проверки до 29.10.2024г.</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следующих выводам.</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Контрактная система в сфере закупок предусматривает осуществлени. деятельности заказчика, специализированной организации и контрольного органа </w:t>
      </w:r>
      <w:r>
        <w:rPr>
          <w:color w:val="3B3B3B"/>
          <w:spacing w:val="0"/>
          <w:w w:val="100"/>
          <w:position w:val="0"/>
          <w:shd w:val="clear" w:color="auto" w:fill="auto"/>
          <w:lang w:val="ru-RU" w:eastAsia="ru-RU" w:bidi="ru-RU"/>
        </w:rPr>
        <w:t xml:space="preserve">в </w:t>
      </w:r>
      <w:r>
        <w:rPr>
          <w:color w:val="000000"/>
          <w:spacing w:val="0"/>
          <w:w w:val="100"/>
          <w:position w:val="0"/>
          <w:shd w:val="clear" w:color="auto" w:fill="auto"/>
          <w:lang w:val="ru-RU" w:eastAsia="ru-RU" w:bidi="ru-RU"/>
        </w:rPr>
        <w:t>сфере закупок на профессиональной основе с привлечением квалифицированных специалистов, обладающих теоретическими знаниями и навыками в сфере закупоы (часть 1 статьи 9 Закона о контрактной системе).</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статье 6 Закона о контрактной системе контрактная система в сферЗ закупок основывается на принципах открытости, прозрачности информации контрактной системе в сфере закупок, обеспечения конкуренции, профессионализм:! </w:t>
      </w:r>
      <w:r>
        <w:rPr>
          <w:color w:val="000000"/>
          <w:spacing w:val="0"/>
          <w:w w:val="100"/>
          <w:position w:val="0"/>
          <w:shd w:val="clear" w:color="auto" w:fill="auto"/>
          <w:lang w:val="ru-RU" w:eastAsia="ru-RU" w:bidi="ru-RU"/>
        </w:rPr>
        <w:t>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настоящего Федерального закона.</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заказчик при описании объекта закупки должен руководствоваться, в числе прочегс следующими правилами:</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w:t>
      </w:r>
      <w:r>
        <w:rPr>
          <w:smallCaps/>
          <w:color w:val="000000"/>
          <w:spacing w:val="0"/>
          <w:w w:val="100"/>
          <w:position w:val="0"/>
          <w:shd w:val="clear" w:color="auto" w:fill="auto"/>
          <w:lang w:val="ru-RU" w:eastAsia="ru-RU" w:bidi="ru-RU"/>
        </w:rPr>
        <w:t xml:space="preserve">е </w:t>
      </w:r>
      <w:r>
        <w:rPr>
          <w:color w:val="000000"/>
          <w:spacing w:val="0"/>
          <w:w w:val="100"/>
          <w:position w:val="0"/>
          <w:shd w:val="clear" w:color="auto" w:fill="auto"/>
          <w:lang w:val="ru-RU" w:eastAsia="ru-RU" w:bidi="ru-RU"/>
        </w:rPr>
        <w:t xml:space="preserve">описании объекта закупки указания на товарный знак при условии сопровожденш такого указания словами «или эквивалент» либо при условии несовместимостр товаров, на которых размещаются другие товарные знаки, и необходимо </w:t>
      </w:r>
      <w:r>
        <w:rPr>
          <w:smallCaps/>
          <w:color w:val="000000"/>
          <w:spacing w:val="0"/>
          <w:w w:val="100"/>
          <w:position w:val="0"/>
          <w:shd w:val="clear" w:color="auto" w:fill="auto"/>
          <w:lang w:val="ru-RU" w:eastAsia="ru-RU" w:bidi="ru-RU"/>
        </w:rPr>
        <w:t xml:space="preserve">стр </w:t>
      </w:r>
      <w:r>
        <w:rPr>
          <w:color w:val="000000"/>
          <w:spacing w:val="0"/>
          <w:w w:val="100"/>
          <w:position w:val="0"/>
          <w:shd w:val="clear" w:color="auto" w:fill="auto"/>
          <w:lang w:val="ru-RU" w:eastAsia="ru-RU" w:bidi="ru-RU"/>
        </w:rPr>
        <w:t xml:space="preserve">обеспеченрря взаимодействия таких товаров с товарами, используемыми заказчиком, либо при условии закупок запасных частей и расходных материалов к машинам </w:t>
      </w:r>
      <w:r>
        <w:rPr>
          <w:smallCaps/>
          <w:color w:val="000000"/>
          <w:spacing w:val="0"/>
          <w:w w:val="100"/>
          <w:position w:val="0"/>
          <w:shd w:val="clear" w:color="auto" w:fill="auto"/>
          <w:lang w:val="ru-RU" w:eastAsia="ru-RU" w:bidi="ru-RU"/>
        </w:rPr>
        <w:t xml:space="preserve">р </w:t>
      </w:r>
      <w:r>
        <w:rPr>
          <w:color w:val="000000"/>
          <w:spacing w:val="0"/>
          <w:w w:val="100"/>
          <w:position w:val="0"/>
          <w:shd w:val="clear" w:color="auto" w:fill="auto"/>
          <w:lang w:val="ru-RU" w:eastAsia="ru-RU" w:bidi="ru-RU"/>
        </w:rPr>
        <w:t xml:space="preserve">оборудованию, используемым заказчиком, в соответствии с технической </w:t>
      </w:r>
      <w:r>
        <w:rPr>
          <w:color w:val="000000"/>
          <w:spacing w:val="0"/>
          <w:w w:val="100"/>
          <w:position w:val="0"/>
          <w:shd w:val="clear" w:color="auto" w:fill="auto"/>
          <w:lang w:val="ru-RU" w:eastAsia="ru-RU" w:bidi="ru-RU"/>
        </w:rPr>
        <w:t>документацией на указанные машины и оборудование.</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жалобе, проведя анализ аукционной документации, было выявлено, что описанию объекта закупки не соответствует оборудование ни одного производителя.</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подтверждение указанной позиции Заявителем предоставлен сравнительный анализ моделей оборудования (товара), предполагаемого к закупке.</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представленных Заказчиков возражений следует, что описание объекта Закупки сформировано в соответствие с положениями статьи 33 Закона о контрактной системе и соответствует товарам двух производителей.</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подтверждение данной позиции Заказчиком также представлен сравнительный анализ с указанием характеристик товара, из которого следует, что характеристики, отраженные в техническом задании, соответствуют в полном объеме характеристикам двух производителей.</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предоставленные документы и сведения, Комиссией Управления установлено, что характеристики товара, отраженные в техническом задании, соответствуют товарам производства ООО «ДГМ ФАРМА-АППАРАТЕ РУС» (ИНН: 7731521160), ООО «ОФТ» (ИНН: 7802174011) и ООО «Фармастандарт-Медтехника» (ИНН: 5008016932).</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среди имеющихся в деле материалов, имеются письма, направленные в адрес Заказчика, от ООО «Фармастандарт-Медтехника» (ИНН: 5008016932) и ООО «ДГМ ФАРМА-АППАРАТЕ РУС» (ИНН: 7731521160), согласно которым, запрошенным Заказчиком характеристикам, согласно техническому заданию, соответствует аппарат РНС ПС-^0 (производство АО «ТЗМОИ», регистрационное удостоверение №РЗН 2016/4060 от 17.04.2023г.) и БОМ 2^40 (регистрационное удостоверение №ФСЗ 2011/10282 от 26.09.2022г.).</w:t>
      </w:r>
    </w:p>
    <w:p>
      <w:pPr>
        <w:pStyle w:val="Style1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 указанным письмам поставщиками также приложены таблицы с указанием характеристики товара и регистрационные удостоверения на медицинские изделия.</w:t>
      </w:r>
    </w:p>
    <w:p>
      <w:pPr>
        <w:pStyle w:val="Style18"/>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Таким образом, под установленные Заказчиком характеристики подходит как минимум два производителя, следовательно, довод Заявителя о том, что под характеристики указанные в аукционной документации не подходит ни один производитель не обоснован.</w:t>
      </w:r>
    </w:p>
    <w:p>
      <w:pPr>
        <w:pStyle w:val="Style18"/>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Иные доказательства, подтверждающие доводы Заявителя на заседание Комиссии Управления не представлены.</w:t>
      </w:r>
    </w:p>
    <w:p>
      <w:pPr>
        <w:pStyle w:val="Style18"/>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Частью 2 статьи 33 Закона о контрактной системе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8"/>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сторонь</w:t>
        <w:br w:type="page"/>
      </w:r>
      <w:r>
        <w:rPr>
          <w:color w:val="000000"/>
          <w:spacing w:val="0"/>
          <w:w w:val="100"/>
          <w:position w:val="0"/>
          <w:shd w:val="clear" w:color="auto" w:fill="auto"/>
          <w:lang w:val="ru-RU" w:eastAsia="ru-RU" w:bidi="ru-RU"/>
        </w:rPr>
        <w:t>необоснованно не ограничить количество участников.</w:t>
      </w:r>
    </w:p>
    <w:p>
      <w:pPr>
        <w:pStyle w:val="Style18"/>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Исполнением требований статьи 33 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18"/>
        <w:keepNext w:val="0"/>
        <w:keepLines w:val="0"/>
        <w:widowControl w:val="0"/>
        <w:shd w:val="clear" w:color="auto" w:fill="auto"/>
        <w:bidi w:val="0"/>
        <w:spacing w:before="0" w:after="120" w:line="240" w:lineRule="auto"/>
        <w:ind w:left="0" w:right="0" w:firstLine="70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при проведении внеплановой проверки, Комиссия Управления, руководствуясь статьями 99 и 106 Закона о контрактной системе,</w:t>
      </w:r>
    </w:p>
    <w:p>
      <w:pPr>
        <w:pStyle w:val="Style18"/>
        <w:keepNext w:val="0"/>
        <w:keepLines w:val="0"/>
        <w:widowControl w:val="0"/>
        <w:shd w:val="clear" w:color="auto" w:fill="auto"/>
        <w:bidi w:val="0"/>
        <w:spacing w:before="0" w:after="120" w:line="240" w:lineRule="auto"/>
        <w:ind w:left="0" w:right="0" w:firstLine="0"/>
        <w:jc w:val="center"/>
      </w:pPr>
      <w:r>
        <w:rPr>
          <w:color w:val="000000"/>
          <w:spacing w:val="0"/>
          <w:w w:val="100"/>
          <w:position w:val="0"/>
          <w:shd w:val="clear" w:color="auto" w:fill="auto"/>
          <w:lang w:val="ru-RU" w:eastAsia="ru-RU" w:bidi="ru-RU"/>
        </w:rPr>
        <w:t>РЕШИЛА:</w:t>
      </w:r>
    </w:p>
    <w:p>
      <w:pPr>
        <w:pStyle w:val="Style18"/>
        <w:keepNext w:val="0"/>
        <w:keepLines w:val="0"/>
        <w:widowControl w:val="0"/>
        <w:shd w:val="clear" w:color="auto" w:fill="auto"/>
        <w:bidi w:val="0"/>
        <w:spacing w:before="0" w:after="0" w:line="254" w:lineRule="auto"/>
        <w:ind w:left="0" w:right="0" w:firstLine="680"/>
        <w:jc w:val="both"/>
      </w:pPr>
      <w:r>
        <w:rPr>
          <w:color w:val="000000"/>
          <w:spacing w:val="0"/>
          <w:w w:val="100"/>
          <w:position w:val="0"/>
          <w:shd w:val="clear" w:color="auto" w:fill="auto"/>
          <w:lang w:val="ru-RU" w:eastAsia="ru-RU" w:bidi="ru-RU"/>
        </w:rPr>
        <w:t>1. Признать жалобу ООО «Апгрейт» необоснованной.</w:t>
      </w:r>
    </w:p>
    <w:p>
      <w:pPr>
        <w:pStyle w:val="Style18"/>
        <w:keepNext w:val="0"/>
        <w:keepLines w:val="0"/>
        <w:widowControl w:val="0"/>
        <w:shd w:val="clear" w:color="auto" w:fill="auto"/>
        <w:bidi w:val="0"/>
        <w:spacing w:before="0" w:after="600" w:line="254" w:lineRule="auto"/>
        <w:ind w:left="0" w:right="0" w:firstLine="700"/>
        <w:jc w:val="both"/>
      </w:pPr>
      <w:r>
        <mc:AlternateContent>
          <mc:Choice Requires="wps">
            <w:drawing>
              <wp:anchor distT="0" distB="0" distL="114300" distR="114300" simplePos="0" relativeHeight="125829378" behindDoc="0" locked="0" layoutInCell="1" allowOverlap="1">
                <wp:simplePos x="0" y="0"/>
                <wp:positionH relativeFrom="page">
                  <wp:posOffset>913130</wp:posOffset>
                </wp:positionH>
                <wp:positionV relativeFrom="paragraph">
                  <wp:posOffset>800100</wp:posOffset>
                </wp:positionV>
                <wp:extent cx="1828800" cy="210185"/>
                <wp:wrapTopAndBottom/>
                <wp:docPr id="8" name="Shape 8"/>
                <a:graphic xmlns:a="http://schemas.openxmlformats.org/drawingml/2006/main">
                  <a:graphicData uri="http://schemas.microsoft.com/office/word/2010/wordprocessingShape">
                    <wps:wsp>
                      <wps:cNvSpPr txBox="1"/>
                      <wps:spPr>
                        <a:xfrm>
                          <a:ext cx="1828800" cy="21018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71.900000000000006pt;margin-top:63.pt;width:144.pt;height:16.550000000000001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0" distB="0" distL="114300" distR="1391285" simplePos="0" relativeHeight="125829380" behindDoc="0" locked="0" layoutInCell="1" allowOverlap="1">
            <wp:simplePos x="0" y="0"/>
            <wp:positionH relativeFrom="page">
              <wp:posOffset>4235450</wp:posOffset>
            </wp:positionH>
            <wp:positionV relativeFrom="paragraph">
              <wp:posOffset>698500</wp:posOffset>
            </wp:positionV>
            <wp:extent cx="1621790" cy="1639570"/>
            <wp:wrapSquare wrapText="lef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1621790" cy="16395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6082665</wp:posOffset>
                </wp:positionH>
                <wp:positionV relativeFrom="paragraph">
                  <wp:posOffset>786765</wp:posOffset>
                </wp:positionV>
                <wp:extent cx="859790" cy="204470"/>
                <wp:wrapNone/>
                <wp:docPr id="12" name="Shape 12"/>
                <a:graphic xmlns:a="http://schemas.openxmlformats.org/drawingml/2006/main">
                  <a:graphicData uri="http://schemas.microsoft.com/office/word/2010/wordprocessingShape">
                    <wps:wsp>
                      <wps:cNvSpPr txBox="1"/>
                      <wps:spPr>
                        <a:xfrm>
                          <a:ext cx="859790" cy="2044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Р.В. Евлоев</w:t>
                            </w:r>
                          </w:p>
                        </w:txbxContent>
                      </wps:txbx>
                      <wps:bodyPr lIns="0" tIns="0" rIns="0" bIns="0">
                        <a:noAutoFit/>
                      </wps:bodyPr>
                    </wps:wsp>
                  </a:graphicData>
                </a:graphic>
              </wp:anchor>
            </w:drawing>
          </mc:Choice>
          <mc:Fallback>
            <w:pict>
              <v:shape id="_x0000_s1038" type="#_x0000_t202" style="position:absolute;margin-left:478.94999999999999pt;margin-top:61.950000000000003pt;width:67.700000000000003pt;height:16.100000000000001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Р.В. Евлоев</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6049010</wp:posOffset>
                </wp:positionH>
                <wp:positionV relativeFrom="paragraph">
                  <wp:posOffset>1375410</wp:posOffset>
                </wp:positionV>
                <wp:extent cx="969010" cy="204470"/>
                <wp:wrapNone/>
                <wp:docPr id="14" name="Shape 14"/>
                <a:graphic xmlns:a="http://schemas.openxmlformats.org/drawingml/2006/main">
                  <a:graphicData uri="http://schemas.microsoft.com/office/word/2010/wordprocessingShape">
                    <wps:wsp>
                      <wps:cNvSpPr txBox="1"/>
                      <wps:spPr>
                        <a:xfrm>
                          <a:ext cx="969010" cy="2044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М.М. Точиев</w:t>
                            </w:r>
                          </w:p>
                        </w:txbxContent>
                      </wps:txbx>
                      <wps:bodyPr lIns="0" tIns="0" rIns="0" bIns="0">
                        <a:noAutoFit/>
                      </wps:bodyPr>
                    </wps:wsp>
                  </a:graphicData>
                </a:graphic>
              </wp:anchor>
            </w:drawing>
          </mc:Choice>
          <mc:Fallback>
            <w:pict>
              <v:shape id="_x0000_s1040" type="#_x0000_t202" style="position:absolute;margin-left:476.30000000000001pt;margin-top:108.3pt;width:76.299999999999997pt;height:16.100000000000001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М.М. Точиев</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6036945</wp:posOffset>
                </wp:positionH>
                <wp:positionV relativeFrom="paragraph">
                  <wp:posOffset>1957070</wp:posOffset>
                </wp:positionV>
                <wp:extent cx="1094105" cy="210185"/>
                <wp:wrapNone/>
                <wp:docPr id="16" name="Shape 16"/>
                <a:graphic xmlns:a="http://schemas.openxmlformats.org/drawingml/2006/main">
                  <a:graphicData uri="http://schemas.microsoft.com/office/word/2010/wordprocessingShape">
                    <wps:wsp>
                      <wps:cNvSpPr txBox="1"/>
                      <wps:spPr>
                        <a:xfrm>
                          <a:ext cx="1094105" cy="21018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А.Б. Торшкоев</w:t>
                            </w:r>
                          </w:p>
                        </w:txbxContent>
                      </wps:txbx>
                      <wps:bodyPr lIns="0" tIns="0" rIns="0" bIns="0">
                        <a:noAutoFit/>
                      </wps:bodyPr>
                    </wps:wsp>
                  </a:graphicData>
                </a:graphic>
              </wp:anchor>
            </w:drawing>
          </mc:Choice>
          <mc:Fallback>
            <w:pict>
              <v:shape id="_x0000_s1042" type="#_x0000_t202" style="position:absolute;margin-left:475.35000000000002pt;margin-top:154.09999999999999pt;width:86.150000000000006pt;height:16.550000000000001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А.Б. Торшкоев</w:t>
                      </w:r>
                    </w:p>
                  </w:txbxContent>
                </v:textbox>
                <w10:wrap anchorx="page"/>
              </v:shape>
            </w:pict>
          </mc:Fallback>
        </mc:AlternateContent>
      </w:r>
      <w:r>
        <w:rPr>
          <w:color w:val="000000"/>
          <w:spacing w:val="0"/>
          <w:w w:val="100"/>
          <w:position w:val="0"/>
          <w:shd w:val="clear" w:color="auto" w:fill="auto"/>
          <w:lang w:val="ru-RU" w:eastAsia="ru-RU" w:bidi="ru-RU"/>
        </w:rPr>
        <w:t>2. В соответствии со статьи 106 Закона о контрактной системе направить настоящее решение сторонам.</w:t>
      </w:r>
    </w:p>
    <w:p>
      <w:pPr>
        <w:pStyle w:val="Style18"/>
        <w:keepNext w:val="0"/>
        <w:keepLines w:val="0"/>
        <w:widowControl w:val="0"/>
        <w:shd w:val="clear" w:color="auto" w:fill="auto"/>
        <w:bidi w:val="0"/>
        <w:spacing w:before="600" w:after="676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7"/>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процессуальной кодекса Российской Федерации.</w:t>
      </w:r>
    </w:p>
    <w:sectPr>
      <w:footnotePr>
        <w:pos w:val="pageBottom"/>
        <w:numFmt w:val="decimal"/>
        <w:numRestart w:val="continuous"/>
      </w:footnotePr>
      <w:type w:val="continuous"/>
      <w:pgSz w:w="11900" w:h="16840"/>
      <w:pgMar w:top="1151" w:right="576" w:bottom="1097" w:left="138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905510</wp:posOffset>
              </wp:positionH>
              <wp:positionV relativeFrom="page">
                <wp:posOffset>9749790</wp:posOffset>
              </wp:positionV>
              <wp:extent cx="624840" cy="100330"/>
              <wp:wrapNone/>
              <wp:docPr id="4" name="Shape 4"/>
              <a:graphic xmlns:a="http://schemas.openxmlformats.org/drawingml/2006/main">
                <a:graphicData uri="http://schemas.microsoft.com/office/word/2010/wordprocessingShape">
                  <wps:wsp>
                    <wps:cNvSpPr txBox="1"/>
                    <wps:spPr>
                      <a:xfrm>
                        <a:ext cx="62484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2024-3675</w:t>
                          </w:r>
                        </w:p>
                      </w:txbxContent>
                    </wps:txbx>
                    <wps:bodyPr wrap="none" lIns="0" tIns="0" rIns="0" bIns="0">
                      <a:spAutoFit/>
                    </wps:bodyPr>
                  </wps:wsp>
                </a:graphicData>
              </a:graphic>
            </wp:anchor>
          </w:drawing>
        </mc:Choice>
        <mc:Fallback>
          <w:pict>
            <v:shape id="_x0000_s1030" type="#_x0000_t202" style="position:absolute;margin-left:71.299999999999997pt;margin-top:767.70000000000005pt;width:49.20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931545</wp:posOffset>
              </wp:positionH>
              <wp:positionV relativeFrom="page">
                <wp:posOffset>9711690</wp:posOffset>
              </wp:positionV>
              <wp:extent cx="621665" cy="103505"/>
              <wp:wrapNone/>
              <wp:docPr id="6" name="Shape 6"/>
              <a:graphic xmlns:a="http://schemas.openxmlformats.org/drawingml/2006/main">
                <a:graphicData uri="http://schemas.microsoft.com/office/word/2010/wordprocessingShape">
                  <wps:wsp>
                    <wps:cNvSpPr txBox="1"/>
                    <wps:spPr>
                      <a:xfrm>
                        <a:ext cx="62166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2024-3675</w:t>
                          </w:r>
                        </w:p>
                      </w:txbxContent>
                    </wps:txbx>
                    <wps:bodyPr wrap="none" lIns="0" tIns="0" rIns="0" bIns="0">
                      <a:spAutoFit/>
                    </wps:bodyPr>
                  </wps:wsp>
                </a:graphicData>
              </a:graphic>
            </wp:anchor>
          </w:drawing>
        </mc:Choice>
        <mc:Fallback>
          <w:pict>
            <v:shape id="_x0000_s1032" type="#_x0000_t202" style="position:absolute;margin-left:73.350000000000009pt;margin-top:764.70000000000005pt;width:48.950000000000003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2024-3675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3981450</wp:posOffset>
              </wp:positionH>
              <wp:positionV relativeFrom="page">
                <wp:posOffset>860425</wp:posOffset>
              </wp:positionV>
              <wp:extent cx="73025" cy="115570"/>
              <wp:wrapNone/>
              <wp:docPr id="2" name="Shape 2"/>
              <a:graphic xmlns:a="http://schemas.openxmlformats.org/drawingml/2006/main">
                <a:graphicData uri="http://schemas.microsoft.com/office/word/2010/wordprocessingShape">
                  <wps:wsp>
                    <wps:cNvSpPr txBox="1"/>
                    <wps:spPr>
                      <a:xfrm>
                        <a:ext cx="7302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13.5pt;margin-top:67.75pt;width:5.75pt;height:9.0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3B3B3B"/>
      <w:sz w:val="15"/>
      <w:szCs w:val="15"/>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272727"/>
      <w:sz w:val="18"/>
      <w:szCs w:val="18"/>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color w:val="272727"/>
      <w:sz w:val="40"/>
      <w:szCs w:val="40"/>
      <w:u w:val="singl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28">
    <w:name w:val="Основной текст (2)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3B3B3B"/>
      <w:sz w:val="15"/>
      <w:szCs w:val="15"/>
      <w:u w:val="none"/>
    </w:rPr>
  </w:style>
  <w:style w:type="paragraph" w:customStyle="1" w:styleId="Style8">
    <w:name w:val="Основной текст (4)"/>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272727"/>
      <w:sz w:val="18"/>
      <w:szCs w:val="18"/>
      <w:u w:val="none"/>
    </w:rPr>
  </w:style>
  <w:style w:type="paragraph" w:customStyle="1" w:styleId="Style12">
    <w:name w:val="Заголовок №2"/>
    <w:basedOn w:val="Normal"/>
    <w:link w:val="CharStyle13"/>
    <w:pPr>
      <w:widowControl w:val="0"/>
      <w:shd w:val="clear" w:color="auto" w:fill="auto"/>
      <w:spacing w:after="180"/>
      <w:jc w:val="right"/>
      <w:outlineLvl w:val="1"/>
    </w:pPr>
    <w:rPr>
      <w:rFonts w:ascii="Times New Roman" w:eastAsia="Times New Roman" w:hAnsi="Times New Roman" w:cs="Times New Roman"/>
      <w:b w:val="0"/>
      <w:bCs w:val="0"/>
      <w:i w:val="0"/>
      <w:iCs w:val="0"/>
      <w:smallCaps w:val="0"/>
      <w:strike w:val="0"/>
      <w:color w:val="272727"/>
      <w:sz w:val="40"/>
      <w:szCs w:val="40"/>
      <w:u w:val="singl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Подпись к картинке"/>
    <w:basedOn w:val="Normal"/>
    <w:link w:val="CharStyle21"/>
    <w:pPr>
      <w:widowControl w:val="0"/>
      <w:shd w:val="clear" w:color="auto" w:fill="auto"/>
      <w:jc w:val="center"/>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Заголовок №1"/>
    <w:basedOn w:val="Normal"/>
    <w:link w:val="CharStyle23"/>
    <w:pPr>
      <w:widowControl w:val="0"/>
      <w:shd w:val="clear" w:color="auto" w:fill="auto"/>
      <w:spacing w:after="180"/>
      <w:outlineLvl w:val="0"/>
    </w:pPr>
    <w:rPr>
      <w:rFonts w:ascii="Arial" w:eastAsia="Arial" w:hAnsi="Arial" w:cs="Arial"/>
      <w:b w:val="0"/>
      <w:bCs w:val="0"/>
      <w:i w:val="0"/>
      <w:iCs w:val="0"/>
      <w:smallCaps w:val="0"/>
      <w:strike w:val="0"/>
      <w:sz w:val="48"/>
      <w:szCs w:val="48"/>
      <w:u w:val="none"/>
    </w:rPr>
  </w:style>
  <w:style w:type="paragraph" w:customStyle="1" w:styleId="Style27">
    <w:name w:val="Основной текст (2)"/>
    <w:basedOn w:val="Normal"/>
    <w:link w:val="CharStyle28"/>
    <w:pPr>
      <w:widowControl w:val="0"/>
      <w:shd w:val="clear" w:color="auto" w:fill="auto"/>
      <w:spacing w:after="360" w:line="259" w:lineRule="auto"/>
      <w:ind w:firstLine="7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