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3530600</wp:posOffset>
            </wp:positionH>
            <wp:positionV relativeFrom="paragraph">
              <wp:posOffset>133985</wp:posOffset>
            </wp:positionV>
            <wp:extent cx="585470" cy="65214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85470" cy="652145"/>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4603115</wp:posOffset>
                </wp:positionH>
                <wp:positionV relativeFrom="paragraph">
                  <wp:posOffset>12700</wp:posOffset>
                </wp:positionV>
                <wp:extent cx="2035810" cy="1807210"/>
                <wp:wrapSquare wrapText="bothSides"/>
                <wp:docPr id="3" name="Shape 3"/>
                <a:graphic xmlns:a="http://schemas.openxmlformats.org/drawingml/2006/main">
                  <a:graphicData uri="http://schemas.microsoft.com/office/word/2010/wordprocessingShape">
                    <wps:wsp>
                      <wps:cNvSpPr txBox="1"/>
                      <wps:spPr>
                        <a:xfrm>
                          <a:ext cx="2035810" cy="1807210"/>
                        </a:xfrm>
                        <a:prstGeom prst="rect"/>
                        <a:noFill/>
                      </wps:spPr>
                      <wps:txbx>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МОНОПОЛИЯГЭ КАРШЫ</w:t>
                              <w:br/>
                              <w:t>ФЕДЕРАЛЬ ХЕЗМЭТ</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Монополиягэ каршы</w:t>
                              <w:br/>
                              <w:t>Федераль хезмэтнец</w:t>
                              <w:br/>
                              <w:t>Татарстан Республикасы</w:t>
                              <w:br/>
                              <w:t>буенча идарэсе</w:t>
                            </w:r>
                          </w:p>
                          <w:p>
                            <w:pPr>
                              <w:pStyle w:val="Style4"/>
                              <w:keepNext w:val="0"/>
                              <w:keepLines w:val="0"/>
                              <w:widowControl w:val="0"/>
                              <w:shd w:val="clear" w:color="auto" w:fill="auto"/>
                              <w:bidi w:val="0"/>
                              <w:spacing w:before="0" w:after="260"/>
                              <w:ind w:left="0" w:right="0" w:firstLine="0"/>
                              <w:jc w:val="center"/>
                            </w:pPr>
                            <w:r>
                              <w:rPr>
                                <w:spacing w:val="0"/>
                                <w:w w:val="100"/>
                                <w:position w:val="0"/>
                                <w:shd w:val="clear" w:color="auto" w:fill="auto"/>
                                <w:lang w:val="ru-RU" w:eastAsia="ru-RU" w:bidi="ru-RU"/>
                              </w:rPr>
                              <w:t xml:space="preserve">Мэскэу ур., </w:t>
                            </w:r>
                            <w:r>
                              <w:rPr>
                                <w:color w:val="1C6291"/>
                                <w:spacing w:val="0"/>
                                <w:w w:val="100"/>
                                <w:position w:val="0"/>
                                <w:shd w:val="clear" w:color="auto" w:fill="auto"/>
                                <w:lang w:val="ru-RU" w:eastAsia="ru-RU" w:bidi="ru-RU"/>
                              </w:rPr>
                              <w:t xml:space="preserve">55 </w:t>
                            </w:r>
                            <w:r>
                              <w:rPr>
                                <w:spacing w:val="0"/>
                                <w:w w:val="100"/>
                                <w:position w:val="0"/>
                                <w:shd w:val="clear" w:color="auto" w:fill="auto"/>
                                <w:lang w:val="ru-RU" w:eastAsia="ru-RU" w:bidi="ru-RU"/>
                              </w:rPr>
                              <w:t>Йорг, Казан шэйэре, 420021</w:t>
                              <w:br/>
                              <w:t>тел.: (843) 236-89-22. факс (843) 238-19-46</w:t>
                              <w:br/>
                              <w:t>е-таЛ: 1о16@Га8.§оу.ги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62.44999999999999pt;margin-top:1.pt;width:160.30000000000001pt;height:142.30000000000001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МОНОПОЛИЯГЭ КАРШЫ</w:t>
                        <w:br/>
                        <w:t>ФЕДЕРАЛЬ ХЕЗМЭТ</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Монополиягэ каршы</w:t>
                        <w:br/>
                        <w:t>Федераль хезмэтнец</w:t>
                        <w:br/>
                        <w:t>Татарстан Республикасы</w:t>
                        <w:br/>
                        <w:t>буенча идарэсе</w:t>
                      </w:r>
                    </w:p>
                    <w:p>
                      <w:pPr>
                        <w:pStyle w:val="Style4"/>
                        <w:keepNext w:val="0"/>
                        <w:keepLines w:val="0"/>
                        <w:widowControl w:val="0"/>
                        <w:shd w:val="clear" w:color="auto" w:fill="auto"/>
                        <w:bidi w:val="0"/>
                        <w:spacing w:before="0" w:after="260"/>
                        <w:ind w:left="0" w:right="0" w:firstLine="0"/>
                        <w:jc w:val="center"/>
                      </w:pPr>
                      <w:r>
                        <w:rPr>
                          <w:spacing w:val="0"/>
                          <w:w w:val="100"/>
                          <w:position w:val="0"/>
                          <w:shd w:val="clear" w:color="auto" w:fill="auto"/>
                          <w:lang w:val="ru-RU" w:eastAsia="ru-RU" w:bidi="ru-RU"/>
                        </w:rPr>
                        <w:t xml:space="preserve">Мэскэу ур., </w:t>
                      </w:r>
                      <w:r>
                        <w:rPr>
                          <w:color w:val="1C6291"/>
                          <w:spacing w:val="0"/>
                          <w:w w:val="100"/>
                          <w:position w:val="0"/>
                          <w:shd w:val="clear" w:color="auto" w:fill="auto"/>
                          <w:lang w:val="ru-RU" w:eastAsia="ru-RU" w:bidi="ru-RU"/>
                        </w:rPr>
                        <w:t xml:space="preserve">55 </w:t>
                      </w:r>
                      <w:r>
                        <w:rPr>
                          <w:spacing w:val="0"/>
                          <w:w w:val="100"/>
                          <w:position w:val="0"/>
                          <w:shd w:val="clear" w:color="auto" w:fill="auto"/>
                          <w:lang w:val="ru-RU" w:eastAsia="ru-RU" w:bidi="ru-RU"/>
                        </w:rPr>
                        <w:t>Йорг, Казан шэйэре, 420021</w:t>
                        <w:br/>
                        <w:t>тел.: (843) 236-89-22. факс (843) 238-19-46</w:t>
                        <w:br/>
                        <w:t>е-таЛ: 1о16@Га8.§оу.ги</w:t>
                      </w:r>
                    </w:p>
                  </w:txbxContent>
                </v:textbox>
                <w10:wrap type="square" anchorx="page"/>
              </v:shape>
            </w:pict>
          </mc:Fallback>
        </mc:AlternateConten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ФЕДЕРАЛЬНАЯ</w:t>
      </w:r>
    </w:p>
    <w:p>
      <w:pPr>
        <w:pStyle w:val="Style2"/>
        <w:keepNext w:val="0"/>
        <w:keepLines w:val="0"/>
        <w:widowControl w:val="0"/>
        <w:shd w:val="clear" w:color="auto" w:fill="auto"/>
        <w:bidi w:val="0"/>
        <w:spacing w:before="0" w:after="280" w:line="240" w:lineRule="auto"/>
        <w:ind w:left="0" w:right="0" w:firstLine="0"/>
        <w:jc w:val="center"/>
      </w:pPr>
      <w:r>
        <w:rPr>
          <w:spacing w:val="0"/>
          <w:w w:val="100"/>
          <w:position w:val="0"/>
          <w:sz w:val="24"/>
          <w:szCs w:val="24"/>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after="280" w:line="240" w:lineRule="auto"/>
        <w:ind w:left="0" w:right="0" w:firstLine="0"/>
        <w:jc w:val="center"/>
      </w:pPr>
      <w:r>
        <w:rPr>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p>
      <w:pPr>
        <w:pStyle w:val="Style4"/>
        <w:keepNext w:val="0"/>
        <w:keepLines w:val="0"/>
        <w:widowControl w:val="0"/>
        <w:shd w:val="clear" w:color="auto" w:fill="auto"/>
        <w:bidi w:val="0"/>
        <w:spacing w:before="0" w:after="960"/>
        <w:ind w:left="0" w:right="0" w:firstLine="0"/>
        <w:jc w:val="center"/>
      </w:pPr>
      <w:r>
        <w:rPr>
          <w:spacing w:val="0"/>
          <w:w w:val="100"/>
          <w:position w:val="0"/>
          <w:shd w:val="clear" w:color="auto" w:fill="auto"/>
          <w:lang w:val="ru-RU" w:eastAsia="ru-RU" w:bidi="ru-RU"/>
        </w:rPr>
        <w:t>ул. Московская, д. 55, г. Казань, 420021</w:t>
        <w:br/>
        <w:t>тел.: (843) 236-89-22, факс (843) 238-19-46</w:t>
        <w:br/>
        <w:t>е-таП: 1о16@Га8.§оу.ги</w:t>
      </w:r>
    </w:p>
    <w:p>
      <w:pPr>
        <w:pStyle w:val="Style2"/>
        <w:keepNext w:val="0"/>
        <w:keepLines w:val="0"/>
        <w:widowControl w:val="0"/>
        <w:shd w:val="clear" w:color="auto" w:fill="auto"/>
        <w:bidi w:val="0"/>
        <w:spacing w:before="0" w:after="0" w:line="240" w:lineRule="auto"/>
        <w:ind w:left="0" w:right="0" w:firstLine="0"/>
        <w:jc w:val="center"/>
        <w:rPr>
          <w:sz w:val="22"/>
          <w:szCs w:val="22"/>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969" w:right="6825" w:bottom="699" w:left="947" w:header="0" w:footer="3" w:gutter="0"/>
          <w:pgNumType w:start="1"/>
          <w:cols w:space="720"/>
          <w:noEndnote/>
          <w:titlePg/>
          <w:rtlGutter w:val="0"/>
          <w:docGrid w:linePitch="360"/>
        </w:sectPr>
      </w:pPr>
      <w:r>
        <w:rPr>
          <w:b w:val="0"/>
          <w:bCs w:val="0"/>
          <w:spacing w:val="0"/>
          <w:w w:val="100"/>
          <w:position w:val="0"/>
          <w:sz w:val="22"/>
          <w:szCs w:val="22"/>
          <w:shd w:val="clear" w:color="auto" w:fill="auto"/>
          <w:lang w:val="ru-RU" w:eastAsia="ru-RU" w:bidi="ru-RU"/>
        </w:rPr>
        <w:t xml:space="preserve">На </w:t>
      </w:r>
      <w:r>
        <w:rPr>
          <w:b w:val="0"/>
          <w:bCs w:val="0"/>
          <w:color w:val="566F95"/>
          <w:spacing w:val="0"/>
          <w:w w:val="100"/>
          <w:position w:val="0"/>
          <w:sz w:val="22"/>
          <w:szCs w:val="22"/>
          <w:shd w:val="clear" w:color="auto" w:fill="auto"/>
          <w:lang w:val="ru-RU" w:eastAsia="ru-RU" w:bidi="ru-RU"/>
        </w:rPr>
        <w:t>№</w:t>
      </w:r>
      <w:r>
        <w:rPr>
          <w:b w:val="0"/>
          <w:bCs w:val="0"/>
          <w:spacing w:val="0"/>
          <w:w w:val="100"/>
          <w:position w:val="0"/>
          <w:sz w:val="22"/>
          <w:szCs w:val="22"/>
          <w:shd w:val="clear" w:color="auto" w:fill="auto"/>
          <w:lang w:val="ru-RU" w:eastAsia="ru-RU" w:bidi="ru-RU"/>
        </w:rPr>
        <w:t>от</w:t>
      </w:r>
    </w:p>
    <w:p>
      <w:pPr>
        <w:pStyle w:val="Style9"/>
        <w:keepNext w:val="0"/>
        <w:keepLines w:val="0"/>
        <w:widowControl w:val="0"/>
        <w:shd w:val="clear" w:color="auto" w:fill="auto"/>
        <w:bidi w:val="0"/>
        <w:spacing w:before="0" w:after="0" w:line="240" w:lineRule="auto"/>
        <w:ind w:left="5680" w:right="0" w:firstLine="0"/>
        <w:jc w:val="left"/>
      </w:pPr>
      <w:r>
        <w:rPr>
          <w:color w:val="000000"/>
          <w:spacing w:val="0"/>
          <w:w w:val="100"/>
          <w:position w:val="0"/>
          <w:shd w:val="clear" w:color="auto" w:fill="auto"/>
          <w:lang w:val="ru-RU" w:eastAsia="ru-RU" w:bidi="ru-RU"/>
        </w:rPr>
        <w:t>Заказчику:</w:t>
      </w:r>
    </w:p>
    <w:p>
      <w:pPr>
        <w:pStyle w:val="Style9"/>
        <w:keepNext w:val="0"/>
        <w:keepLines w:val="0"/>
        <w:widowControl w:val="0"/>
        <w:shd w:val="clear" w:color="auto" w:fill="auto"/>
        <w:bidi w:val="0"/>
        <w:spacing w:before="0" w:after="0" w:line="240" w:lineRule="auto"/>
        <w:ind w:left="5680" w:right="0" w:firstLine="0"/>
        <w:jc w:val="left"/>
      </w:pPr>
      <w:r>
        <w:rPr>
          <w:color w:val="000000"/>
          <w:spacing w:val="0"/>
          <w:w w:val="100"/>
          <w:position w:val="0"/>
          <w:shd w:val="clear" w:color="auto" w:fill="auto"/>
          <w:lang w:val="ru-RU" w:eastAsia="ru-RU" w:bidi="ru-RU"/>
        </w:rPr>
        <w:t>ИСПОЛНИТЕЛЬНЫЙ КОМИТЕТ</w:t>
      </w:r>
    </w:p>
    <w:p>
      <w:pPr>
        <w:pStyle w:val="Style9"/>
        <w:keepNext w:val="0"/>
        <w:keepLines w:val="0"/>
        <w:widowControl w:val="0"/>
        <w:shd w:val="clear" w:color="auto" w:fill="auto"/>
        <w:bidi w:val="0"/>
        <w:spacing w:before="0" w:after="0" w:line="240" w:lineRule="auto"/>
        <w:ind w:left="5680" w:right="0" w:firstLine="0"/>
        <w:jc w:val="left"/>
      </w:pPr>
      <w:r>
        <w:rPr>
          <w:color w:val="000000"/>
          <w:spacing w:val="0"/>
          <w:w w:val="100"/>
          <w:position w:val="0"/>
          <w:shd w:val="clear" w:color="auto" w:fill="auto"/>
          <w:lang w:val="ru-RU" w:eastAsia="ru-RU" w:bidi="ru-RU"/>
        </w:rPr>
        <w:t>ЧИСТОПОЛЬСКОГО</w:t>
      </w:r>
    </w:p>
    <w:p>
      <w:pPr>
        <w:pStyle w:val="Style9"/>
        <w:keepNext w:val="0"/>
        <w:keepLines w:val="0"/>
        <w:widowControl w:val="0"/>
        <w:shd w:val="clear" w:color="auto" w:fill="auto"/>
        <w:bidi w:val="0"/>
        <w:spacing w:before="0" w:after="0" w:line="240" w:lineRule="auto"/>
        <w:ind w:left="5680" w:right="0" w:firstLine="0"/>
        <w:jc w:val="left"/>
      </w:pPr>
      <w:r>
        <w:rPr>
          <w:color w:val="000000"/>
          <w:spacing w:val="0"/>
          <w:w w:val="100"/>
          <w:position w:val="0"/>
          <w:shd w:val="clear" w:color="auto" w:fill="auto"/>
          <w:lang w:val="ru-RU" w:eastAsia="ru-RU" w:bidi="ru-RU"/>
        </w:rPr>
        <w:t>МУНИЦИПАЛЬНОГО РАЙОНА</w:t>
      </w:r>
    </w:p>
    <w:p>
      <w:pPr>
        <w:pStyle w:val="Style9"/>
        <w:keepNext w:val="0"/>
        <w:keepLines w:val="0"/>
        <w:widowControl w:val="0"/>
        <w:shd w:val="clear" w:color="auto" w:fill="auto"/>
        <w:bidi w:val="0"/>
        <w:spacing w:before="0" w:after="320" w:line="240" w:lineRule="auto"/>
        <w:ind w:left="5680" w:right="0" w:firstLine="0"/>
        <w:jc w:val="left"/>
      </w:pPr>
      <w:r>
        <w:rPr>
          <w:color w:val="000000"/>
          <w:spacing w:val="0"/>
          <w:w w:val="100"/>
          <w:position w:val="0"/>
          <w:shd w:val="clear" w:color="auto" w:fill="auto"/>
          <w:lang w:val="ru-RU" w:eastAsia="ru-RU" w:bidi="ru-RU"/>
        </w:rPr>
        <w:t>РЕСПУБЛИКИ ТАТАРСТАН</w:t>
      </w:r>
    </w:p>
    <w:p>
      <w:pPr>
        <w:pStyle w:val="Style9"/>
        <w:keepNext w:val="0"/>
        <w:keepLines w:val="0"/>
        <w:widowControl w:val="0"/>
        <w:shd w:val="clear" w:color="auto" w:fill="auto"/>
        <w:bidi w:val="0"/>
        <w:spacing w:before="0" w:after="0" w:line="240" w:lineRule="auto"/>
        <w:ind w:left="5680" w:right="0" w:firstLine="0"/>
        <w:jc w:val="left"/>
      </w:pPr>
      <w:r>
        <w:rPr>
          <w:color w:val="000000"/>
          <w:spacing w:val="0"/>
          <w:w w:val="100"/>
          <w:position w:val="0"/>
          <w:shd w:val="clear" w:color="auto" w:fill="auto"/>
          <w:lang w:val="ru-RU" w:eastAsia="ru-RU" w:bidi="ru-RU"/>
        </w:rPr>
        <w:t>Заявителю:</w:t>
      </w:r>
    </w:p>
    <w:p>
      <w:pPr>
        <w:pStyle w:val="Style9"/>
        <w:keepNext w:val="0"/>
        <w:keepLines w:val="0"/>
        <w:widowControl w:val="0"/>
        <w:shd w:val="clear" w:color="auto" w:fill="auto"/>
        <w:bidi w:val="0"/>
        <w:spacing w:before="0" w:after="0" w:line="240" w:lineRule="auto"/>
        <w:ind w:left="5680" w:right="0" w:firstLine="0"/>
        <w:jc w:val="left"/>
      </w:pPr>
      <w:r>
        <w:rPr>
          <w:color w:val="000000"/>
          <w:spacing w:val="0"/>
          <w:w w:val="100"/>
          <w:position w:val="0"/>
          <w:shd w:val="clear" w:color="auto" w:fill="auto"/>
          <w:lang w:val="ru-RU" w:eastAsia="ru-RU" w:bidi="ru-RU"/>
        </w:rPr>
        <w:t>ОБЩЕСТВО С ОГРАНИЧЕННОЙ</w:t>
      </w:r>
    </w:p>
    <w:p>
      <w:pPr>
        <w:pStyle w:val="Style9"/>
        <w:keepNext w:val="0"/>
        <w:keepLines w:val="0"/>
        <w:widowControl w:val="0"/>
        <w:shd w:val="clear" w:color="auto" w:fill="auto"/>
        <w:bidi w:val="0"/>
        <w:spacing w:before="0" w:after="0" w:line="240" w:lineRule="auto"/>
        <w:ind w:left="5680" w:right="0" w:firstLine="0"/>
        <w:jc w:val="left"/>
      </w:pPr>
      <w:r>
        <w:rPr>
          <w:color w:val="000000"/>
          <w:spacing w:val="0"/>
          <w:w w:val="100"/>
          <w:position w:val="0"/>
          <w:shd w:val="clear" w:color="auto" w:fill="auto"/>
          <w:lang w:val="ru-RU" w:eastAsia="ru-RU" w:bidi="ru-RU"/>
        </w:rPr>
        <w:t>ОТВЕТСТВЕННОСТЬЮ "БРОКЕР</w:t>
      </w:r>
    </w:p>
    <w:p>
      <w:pPr>
        <w:pStyle w:val="Style9"/>
        <w:keepNext w:val="0"/>
        <w:keepLines w:val="0"/>
        <w:widowControl w:val="0"/>
        <w:shd w:val="clear" w:color="auto" w:fill="auto"/>
        <w:bidi w:val="0"/>
        <w:spacing w:before="0" w:after="0" w:line="230" w:lineRule="auto"/>
        <w:ind w:left="5680" w:right="0" w:firstLine="0"/>
        <w:jc w:val="left"/>
      </w:pPr>
      <w:r>
        <w:rPr>
          <w:color w:val="000000"/>
          <w:spacing w:val="0"/>
          <w:w w:val="100"/>
          <w:position w:val="0"/>
          <w:shd w:val="clear" w:color="auto" w:fill="auto"/>
          <w:lang w:val="ru-RU" w:eastAsia="ru-RU" w:bidi="ru-RU"/>
        </w:rPr>
        <w:t>ГРУПП"</w:t>
      </w:r>
    </w:p>
    <w:p>
      <w:pPr>
        <w:pStyle w:val="Style9"/>
        <w:keepNext w:val="0"/>
        <w:keepLines w:val="0"/>
        <w:widowControl w:val="0"/>
        <w:shd w:val="clear" w:color="auto" w:fill="auto"/>
        <w:bidi w:val="0"/>
        <w:spacing w:before="0" w:after="320" w:line="240" w:lineRule="auto"/>
        <w:ind w:left="5680" w:right="0" w:firstLine="0"/>
        <w:jc w:val="left"/>
      </w:pPr>
      <w:r>
        <w:rPr>
          <w:color w:val="000000"/>
          <w:spacing w:val="0"/>
          <w:w w:val="100"/>
          <w:position w:val="0"/>
          <w:u w:val="single"/>
          <w:shd w:val="clear" w:color="auto" w:fill="auto"/>
          <w:lang w:val="ru-RU" w:eastAsia="ru-RU" w:bidi="ru-RU"/>
        </w:rPr>
        <w:t>ооо.1еп&lt;1ег.Ьгокег77@цта11.сот</w:t>
      </w:r>
    </w:p>
    <w:p>
      <w:pPr>
        <w:pStyle w:val="Style9"/>
        <w:keepNext w:val="0"/>
        <w:keepLines w:val="0"/>
        <w:widowControl w:val="0"/>
        <w:shd w:val="clear" w:color="auto" w:fill="auto"/>
        <w:bidi w:val="0"/>
        <w:spacing w:before="0" w:after="620" w:line="240" w:lineRule="auto"/>
        <w:ind w:left="0" w:right="0" w:firstLine="0"/>
        <w:jc w:val="center"/>
      </w:pPr>
      <w:r>
        <w:rPr>
          <w:b/>
          <w:bCs/>
          <w:color w:val="000000"/>
          <w:spacing w:val="0"/>
          <w:w w:val="100"/>
          <w:position w:val="0"/>
          <w:shd w:val="clear" w:color="auto" w:fill="auto"/>
          <w:lang w:val="ru-RU" w:eastAsia="ru-RU" w:bidi="ru-RU"/>
        </w:rPr>
        <w:t>Решение по делу № 016/06/31-1467/2024</w:t>
        <w:br/>
        <w:t>о нарушении законодательства в сфере закупок товаров, работ, услуг</w:t>
        <w:br/>
        <w:t>для обеспечения государственных и муниципальных нужд</w:t>
      </w:r>
    </w:p>
    <w:p>
      <w:pPr>
        <w:pStyle w:val="Style9"/>
        <w:keepNext w:val="0"/>
        <w:keepLines w:val="0"/>
        <w:widowControl w:val="0"/>
        <w:shd w:val="clear" w:color="auto" w:fill="auto"/>
        <w:bidi w:val="0"/>
        <w:spacing w:before="0" w:after="32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6099810</wp:posOffset>
                </wp:positionH>
                <wp:positionV relativeFrom="paragraph">
                  <wp:posOffset>25400</wp:posOffset>
                </wp:positionV>
                <wp:extent cx="722630" cy="216535"/>
                <wp:wrapSquare wrapText="left"/>
                <wp:docPr id="9" name="Shape 9"/>
                <a:graphic xmlns:a="http://schemas.openxmlformats.org/drawingml/2006/main">
                  <a:graphicData uri="http://schemas.microsoft.com/office/word/2010/wordprocessingShape">
                    <wps:wsp>
                      <wps:cNvSpPr txBox="1"/>
                      <wps:spPr>
                        <a:xfrm>
                          <a:ext cx="722630"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Казань</w:t>
                            </w:r>
                          </w:p>
                        </w:txbxContent>
                      </wps:txbx>
                      <wps:bodyPr wrap="none" lIns="0" tIns="0" rIns="0" bIns="0">
                        <a:noAutoFit/>
                      </wps:bodyPr>
                    </wps:wsp>
                  </a:graphicData>
                </a:graphic>
              </wp:anchor>
            </w:drawing>
          </mc:Choice>
          <mc:Fallback>
            <w:pict>
              <v:shape id="_x0000_s1035" type="#_x0000_t202" style="position:absolute;margin-left:480.30000000000001pt;margin-top:2.pt;width:56.899999999999999pt;height:17.050000000000001pt;z-index:-125829372;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Казань</w:t>
                      </w:r>
                    </w:p>
                  </w:txbxContent>
                </v:textbox>
                <w10:wrap type="square" side="left" anchorx="page"/>
              </v:shape>
            </w:pict>
          </mc:Fallback>
        </mc:AlternateContent>
      </w:r>
      <w:r>
        <w:rPr>
          <w:color w:val="000000"/>
          <w:spacing w:val="0"/>
          <w:w w:val="100"/>
          <w:position w:val="0"/>
          <w:shd w:val="clear" w:color="auto" w:fill="auto"/>
          <w:lang w:val="ru-RU" w:eastAsia="ru-RU" w:bidi="ru-RU"/>
        </w:rPr>
        <w:t>28 октября 2024 года</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Комиссией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w:t>
      </w:r>
    </w:p>
    <w:tbl>
      <w:tblPr>
        <w:tblOverlap w:val="never"/>
        <w:jc w:val="center"/>
        <w:tblLayout w:type="fixed"/>
      </w:tblPr>
      <w:tblGrid>
        <w:gridCol w:w="5635"/>
        <w:gridCol w:w="4622"/>
      </w:tblGrid>
      <w:tr>
        <w:trPr>
          <w:trHeight w:val="667" w:hRule="exact"/>
        </w:trPr>
        <w:tc>
          <w:tcPr>
            <w:tcBorders/>
            <w:shd w:val="clear" w:color="auto" w:fill="auto"/>
            <w:vAlign w:val="top"/>
          </w:tcPr>
          <w:p>
            <w:pPr>
              <w:pStyle w:val="Style17"/>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Зам.Председателя Комиссии:</w:t>
            </w:r>
          </w:p>
        </w:tc>
        <w:tc>
          <w:tcPr>
            <w:tcBorders/>
            <w:shd w:val="clear" w:color="auto" w:fill="auto"/>
            <w:vAlign w:val="bottom"/>
          </w:tcPr>
          <w:p>
            <w:pPr>
              <w:pStyle w:val="Style17"/>
              <w:keepNext w:val="0"/>
              <w:keepLines w:val="0"/>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ru-RU" w:eastAsia="ru-RU" w:bidi="ru-RU"/>
              </w:rPr>
              <w:t>Кучеевой А.С. - начальника отдела,</w:t>
            </w:r>
          </w:p>
        </w:tc>
      </w:tr>
      <w:tr>
        <w:trPr>
          <w:trHeight w:val="1306" w:hRule="exact"/>
        </w:trPr>
        <w:tc>
          <w:tcPr>
            <w:tcBorders/>
            <w:shd w:val="clear" w:color="auto" w:fill="auto"/>
            <w:vAlign w:val="top"/>
          </w:tcPr>
          <w:p>
            <w:pPr>
              <w:pStyle w:val="Style17"/>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Членов Комиссии:</w:t>
            </w:r>
          </w:p>
        </w:tc>
        <w:tc>
          <w:tcPr>
            <w:tcBorders/>
            <w:shd w:val="clear" w:color="auto" w:fill="auto"/>
            <w:vAlign w:val="bottom"/>
          </w:tcPr>
          <w:p>
            <w:pPr>
              <w:pStyle w:val="Style17"/>
              <w:keepNext w:val="0"/>
              <w:keepLines w:val="0"/>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ru-RU" w:eastAsia="ru-RU" w:bidi="ru-RU"/>
              </w:rPr>
              <w:t>Акперовой Л.А. - главного специалиста-эксперта, Курмаевой Г.Р. - старшего государственного инспектора,</w:t>
            </w:r>
          </w:p>
        </w:tc>
      </w:tr>
    </w:tbl>
    <w:p>
      <w:pPr>
        <w:widowControl w:val="0"/>
        <w:spacing w:after="379" w:line="1" w:lineRule="exact"/>
      </w:pPr>
    </w:p>
    <w:p>
      <w:pPr>
        <w:pStyle w:val="Style9"/>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 xml:space="preserve">в отсутствии представителя Заказчика ИСПОЛНИТЕЛЬНЫЙ КОМИТЕТ ЧИСТОПОЛЬСКОГО МУНИЦИПАЛЬНОГО РАЙОНА РЕСПУБЛИКИ ТАТАРСТАН, заявителя ОБЩЕСТВО С ОГРАНИЧЕННОЙ ОТВЕТСТВЕННОСТЬЮ "БРОКЕР ГРУПП", надлежащим образом уведомленных, </w:t>
      </w:r>
      <w:r>
        <w:rPr>
          <w:color w:val="000000"/>
          <w:spacing w:val="0"/>
          <w:w w:val="100"/>
          <w:position w:val="0"/>
          <w:shd w:val="clear" w:color="auto" w:fill="auto"/>
          <w:lang w:val="ru-RU" w:eastAsia="ru-RU" w:bidi="ru-RU"/>
        </w:rPr>
        <w:t>рассмотрев по видеоконференции жалобу заявителя (вх. №11358/ж от 23.10.2024 г.) (в ЕИС 22.10.2024) на действия заказчика ИСПОЛНИТЕЛЬНЫЙ КОМИТЕТ ЧИСТОПОЛЬСКОГО МУНИЦИПАЛЬНОГО РАЙОНА РЕСПУБЛИКИ ТАТАРСТАН при проведении закупки по извещению № 0111300074024000116 на предмет: Строительство 2 объектов индивидуального жилищного строительства площадью по 72 кв.м малоэтажного жилого комплекса в с.Александровка Чистопольского муниципального района Республики Татарстан, предоставляемых по договорам найма жилого помещения (1),</w:t>
      </w:r>
    </w:p>
    <w:p>
      <w:pPr>
        <w:pStyle w:val="Style9"/>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Извещение о проведении открытого конкурса в электронной форме № 0111300074024000116 размещено на официальном сайте Российской Федерации для размещения информации о размещении заказов члу\у.2акирк1.§оу.ги 07.10.2024 г.</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Начальная (максимальная) цена контракта - 8 649 760,00 руб.</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Суть жалобы, по мнению заявителя, заказчиком при проведении закупки нарушены требования действующего законодательства о контрактной системе.</w:t>
      </w:r>
    </w:p>
    <w:p>
      <w:pPr>
        <w:pStyle w:val="Style9"/>
        <w:keepNext w:val="0"/>
        <w:keepLines w:val="0"/>
        <w:widowControl w:val="0"/>
        <w:shd w:val="clear" w:color="auto" w:fill="auto"/>
        <w:bidi w:val="0"/>
        <w:spacing w:before="0" w:after="0" w:line="240" w:lineRule="auto"/>
        <w:ind w:left="0" w:right="0" w:firstLine="680"/>
        <w:jc w:val="both"/>
      </w:pPr>
      <w:r>
        <w:rPr>
          <w:b/>
          <w:bCs/>
          <w:color w:val="000000"/>
          <w:spacing w:val="0"/>
          <w:w w:val="100"/>
          <w:position w:val="0"/>
          <w:shd w:val="clear" w:color="auto" w:fill="auto"/>
          <w:lang w:val="ru-RU" w:eastAsia="ru-RU" w:bidi="ru-RU"/>
        </w:rPr>
        <w:t>Комиссия Татарстанского УФАС России по результатам рассмотрения доводов заявителя на действия заказчика и позиции заказчика, изучения документации закупки приходит к следующим выводам.</w:t>
      </w:r>
    </w:p>
    <w:p>
      <w:pPr>
        <w:pStyle w:val="Style9"/>
        <w:keepNext w:val="0"/>
        <w:keepLines w:val="0"/>
        <w:widowControl w:val="0"/>
        <w:shd w:val="clear" w:color="auto" w:fill="auto"/>
        <w:bidi w:val="0"/>
        <w:spacing w:before="0" w:after="0" w:line="240" w:lineRule="auto"/>
        <w:ind w:left="0" w:right="0" w:firstLine="680"/>
        <w:jc w:val="both"/>
      </w:pPr>
      <w:r>
        <w:rPr>
          <w:i/>
          <w:iCs/>
          <w:color w:val="000000"/>
          <w:spacing w:val="0"/>
          <w:w w:val="100"/>
          <w:position w:val="0"/>
          <w:shd w:val="clear" w:color="auto" w:fill="auto"/>
          <w:lang w:val="ru-RU" w:eastAsia="ru-RU" w:bidi="ru-RU"/>
        </w:rPr>
        <w:t>1. Относительно довода заявителя о неправомерном установлении требований к участникам закупки.</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п.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9"/>
        <w:keepNext w:val="0"/>
        <w:keepLines w:val="0"/>
        <w:widowControl w:val="0"/>
        <w:shd w:val="clear" w:color="auto" w:fill="auto"/>
        <w:bidi w:val="0"/>
        <w:spacing w:before="0" w:after="320" w:line="240" w:lineRule="auto"/>
        <w:ind w:left="0" w:right="0" w:firstLine="680"/>
        <w:jc w:val="both"/>
        <w:sectPr>
          <w:footnotePr>
            <w:pos w:val="pageBottom"/>
            <w:numFmt w:val="decimal"/>
            <w:numRestart w:val="continuous"/>
          </w:footnotePr>
          <w:type w:val="continuous"/>
          <w:pgSz w:w="11900" w:h="16840"/>
          <w:pgMar w:top="1011" w:right="766" w:bottom="867" w:left="819" w:header="0" w:footer="3" w:gutter="0"/>
          <w:cols w:space="720"/>
          <w:noEndnote/>
          <w:rtlGutter w:val="0"/>
          <w:docGrid w:linePitch="360"/>
        </w:sectPr>
      </w:pPr>
      <w:r>
        <w:rPr>
          <w:color w:val="000000"/>
          <w:spacing w:val="0"/>
          <w:w w:val="100"/>
          <w:position w:val="0"/>
          <w:shd w:val="clear" w:color="auto" w:fill="auto"/>
          <w:lang w:val="ru-RU" w:eastAsia="ru-RU" w:bidi="ru-RU"/>
        </w:rPr>
        <w:t>Так, заказчиком в извещении установлено требование к участникам закупок в соответствии с п. 1 ч. 1 ст. 31 Закона № 44-ФЗ:</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«Работы по договорам о строительстве,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статьей 52 ГрК РФ.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 2.1.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Участником предоставляется выписка из реестра членов саморегулируемой организации (далее - СРО), основанной на членстве лиц, осуществляющих строительство, выданная по форме согласно Приказу Федеральной службы по экологическому, технологическому и атомному надзору от 04.03.2019 № 86 «Об утверждении формы выписки из реестра членов саморегулируемой организации», в соответствии с частью 4 статьи 55.17 Градостроительного кодекса РФ, и в которой должны содержаться сведения: 1. О наличии у члена СРО права осуществлять строительство объектов капитального строительства по договору строительного подряда, заключаемому с использованием конкурентных способов заключения договоров. 2. О соответствии члена СРО уровню ответственности, предусмотренному частью 13 статьи 55.16 Градостроительного кодекса РФ). Член саморегулируемой организации, основанной на членстве лиц, осуществляющих строительство, должен быть зарегистрирован в том же субъекте Российской Федерации, в котором зарегистрирована такая саморегулируемая организация, за исключением случаев, указанных в части 3 статьи 55.6 Градостроительного кодекса РФ. Указанные требования не распространяются на случаи, предусмотренные частями 2.1, 2.2 статьи 52 Градостроительного кодекса РФ».</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Татарстанского УФАС изучив материалы дела, устные и письменные пояснения заказчика, пришла к следующему.</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ч. 2.1 ст. 52 Градостроительного кодекса РФ (далее - ГрК РФ)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w:t>
      </w:r>
      <w:r>
        <w:rPr>
          <w:color w:val="000000"/>
          <w:spacing w:val="0"/>
          <w:w w:val="100"/>
          <w:position w:val="0"/>
          <w:shd w:val="clear" w:color="auto" w:fill="auto"/>
          <w:lang w:val="ru-RU" w:eastAsia="ru-RU" w:bidi="ru-RU"/>
        </w:rPr>
        <w:t>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Вместе с тем, начальная (максимальная) цена контракта по данной закупке составляет - 8 649 760,00 руб.</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соответствии с ч. 2.2 ст. 52 ГрК РФ, не требуется членство в саморегулируемых организациях в области строительства, реконструкции, капитального ремонта объектов капитального строительства: лиц, осуществляющих строительство, реконструкцию, капитальный ремонт объектов, указанных в пунктах 1-3 части 17 статьи 51 настоящего Кодекса.</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Так, согласно пп. 1.1 ч. 17 ст. 51 ГрК РФ, Выдача разрешения на строительство не требуется в случае: 1.1) строительства, реконструкции объектов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И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При этом, объектом закупки является - Строительство 2 объектов индивидуального жилищного строительства площадью по 72 кв.м малоэтажного жилого комплекса в с.Александровка Чистопольского муниципального района Республики Татарстан, предоставляемых по договорам найма жилого помещения (1)-</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Таким образом, Заказчиком в нарушение требований п. 12 ч. 1 ст. 42, п.1 ч. 1 ст. 31 Закона о контрактной системе, неправомерно установлено требование о принадлежности участника закупки к членам СРО.</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Довод заявителя признан обоснованным.</w:t>
      </w:r>
    </w:p>
    <w:p>
      <w:pPr>
        <w:pStyle w:val="Style9"/>
        <w:keepNext w:val="0"/>
        <w:keepLines w:val="0"/>
        <w:widowControl w:val="0"/>
        <w:shd w:val="clear" w:color="auto" w:fill="auto"/>
        <w:bidi w:val="0"/>
        <w:spacing w:before="0" w:after="0" w:line="240" w:lineRule="auto"/>
        <w:ind w:left="0" w:right="0" w:firstLine="680"/>
        <w:jc w:val="both"/>
      </w:pPr>
      <w:r>
        <w:rPr>
          <w:i/>
          <w:iCs/>
          <w:color w:val="000000"/>
          <w:spacing w:val="0"/>
          <w:w w:val="100"/>
          <w:position w:val="0"/>
          <w:shd w:val="clear" w:color="auto" w:fill="auto"/>
          <w:lang w:val="ru-RU" w:eastAsia="ru-RU" w:bidi="ru-RU"/>
        </w:rPr>
        <w:t>2. Относительно довода заявителя о не указании сроков выполнения работ.</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соответствии с ч. 6 ст. 110.2 Закона о контрактной системе,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ч. 7 ст. 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Приказом Минстроя России от 05.06.2018 П 336/пр утверждены Методики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 2.9 Методики составления графика выполнения строительно</w:t>
        <w:softHyphen/>
        <w:t>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 не позднее которых должны состояться следующие события:</w:t>
      </w:r>
    </w:p>
    <w:p>
      <w:pPr>
        <w:pStyle w:val="Style9"/>
        <w:keepNext w:val="0"/>
        <w:keepLines w:val="0"/>
        <w:widowControl w:val="0"/>
        <w:numPr>
          <w:ilvl w:val="2"/>
          <w:numId w:val="1"/>
        </w:numPr>
        <w:shd w:val="clear" w:color="auto" w:fill="auto"/>
        <w:tabs>
          <w:tab w:pos="15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подписание сторонами акта о соответствии состояния земельного участка (объекта капитального строительства, подлежащего реконструкции) условиям контракта;</w:t>
      </w:r>
    </w:p>
    <w:p>
      <w:pPr>
        <w:pStyle w:val="Style9"/>
        <w:keepNext w:val="0"/>
        <w:keepLines w:val="0"/>
        <w:widowControl w:val="0"/>
        <w:numPr>
          <w:ilvl w:val="2"/>
          <w:numId w:val="1"/>
        </w:numPr>
        <w:shd w:val="clear" w:color="auto" w:fill="auto"/>
        <w:tabs>
          <w:tab w:pos="15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передача подрядчику копии разрешения на строительство, реконструкцию объекта; копии решения собственника имущества о его сносе (при необходимости); копии разрешения на вырубку зеленых и лесных насаждений; копии технических условий и разрешений на временное присоединение объекта к сетям инженерно-технического обеспечения в соответствии с проектом организации строительства;</w:t>
      </w:r>
    </w:p>
    <w:p>
      <w:pPr>
        <w:pStyle w:val="Style9"/>
        <w:keepNext w:val="0"/>
        <w:keepLines w:val="0"/>
        <w:widowControl w:val="0"/>
        <w:numPr>
          <w:ilvl w:val="2"/>
          <w:numId w:val="1"/>
        </w:numPr>
        <w:shd w:val="clear" w:color="auto" w:fill="auto"/>
        <w:tabs>
          <w:tab w:pos="15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передача подрядчику копий документов, подтверждающих согласование производства отдельных работ, если необходимость такого согласования установлена законодательством Российской Федерации;</w:t>
      </w:r>
    </w:p>
    <w:p>
      <w:pPr>
        <w:pStyle w:val="Style9"/>
        <w:keepNext w:val="0"/>
        <w:keepLines w:val="0"/>
        <w:widowControl w:val="0"/>
        <w:numPr>
          <w:ilvl w:val="2"/>
          <w:numId w:val="1"/>
        </w:numPr>
        <w:shd w:val="clear" w:color="auto" w:fill="auto"/>
        <w:tabs>
          <w:tab w:pos="15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подключение объекта к сетям инженерно-технического обеспечения в соответствии с техническими условиями, предусмотренными проектной документацией;</w:t>
      </w:r>
    </w:p>
    <w:p>
      <w:pPr>
        <w:pStyle w:val="Style9"/>
        <w:keepNext w:val="0"/>
        <w:keepLines w:val="0"/>
        <w:widowControl w:val="0"/>
        <w:numPr>
          <w:ilvl w:val="2"/>
          <w:numId w:val="1"/>
        </w:numPr>
        <w:shd w:val="clear" w:color="auto" w:fill="auto"/>
        <w:tabs>
          <w:tab w:pos="15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подписание акта о соответствии состояния земельного участка условиям контракта при завершении строительства, реконструкции объекта.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графику работ (приложение № 5 к проекту контракта) Заказчиком установлены наименование, даты начала и срок выполнения необходимых в соответствии с контрактом работ:</w:t>
      </w:r>
    </w:p>
    <w:p>
      <w:pPr>
        <w:pStyle w:val="Style24"/>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hd w:val="clear" w:color="auto" w:fill="auto"/>
          <w:lang w:val="ru-RU" w:eastAsia="ru-RU" w:bidi="ru-RU"/>
        </w:rPr>
        <w:t>График выполнения работ</w:t>
      </w:r>
    </w:p>
    <w:tbl>
      <w:tblPr>
        <w:tblOverlap w:val="never"/>
        <w:jc w:val="center"/>
        <w:tblLayout w:type="fixed"/>
      </w:tblPr>
      <w:tblGrid>
        <w:gridCol w:w="3557"/>
        <w:gridCol w:w="1848"/>
        <w:gridCol w:w="1632"/>
        <w:gridCol w:w="1992"/>
        <w:gridCol w:w="1267"/>
      </w:tblGrid>
      <w:tr>
        <w:trPr>
          <w:trHeight w:val="1003"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Наименование</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Дата начала работ</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33"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Срок выполнения работ</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Срок исполнения контракта</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Представитель Генерального подрядчика (должность ФИО)</w:t>
            </w:r>
          </w:p>
        </w:tc>
      </w:tr>
      <w:tr>
        <w:trPr>
          <w:trHeight w:val="1382"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Строительство 2 объектов индивидуального жилищного строительства площадью по 72 кв.м малоэтажного жилого комплекса в с.Александровка Чистопольского муниципального района Республики Татарстан, предоставляемых по договорам найма жилого помещения</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С даты заключения контракта</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15.12.2024г.</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403"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 xml:space="preserve">1. </w:t>
            </w:r>
            <w:r>
              <w:rPr>
                <w:rFonts w:ascii="Calibri" w:eastAsia="Calibri" w:hAnsi="Calibri" w:cs="Calibri"/>
                <w:b/>
                <w:bCs/>
                <w:i/>
                <w:iCs/>
                <w:color w:val="000000"/>
                <w:spacing w:val="0"/>
                <w:w w:val="100"/>
                <w:position w:val="0"/>
                <w:sz w:val="16"/>
                <w:szCs w:val="16"/>
                <w:shd w:val="clear" w:color="auto" w:fill="auto"/>
                <w:lang w:val="ru-RU" w:eastAsia="ru-RU" w:bidi="ru-RU"/>
              </w:rPr>
              <w:t>Нулевой цикл /Фундамент)</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С даты заключения контракта</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10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398"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i/>
                <w:iCs/>
                <w:color w:val="000000"/>
                <w:spacing w:val="0"/>
                <w:w w:val="100"/>
                <w:position w:val="0"/>
                <w:sz w:val="16"/>
                <w:szCs w:val="16"/>
                <w:shd w:val="clear" w:color="auto" w:fill="auto"/>
                <w:lang w:val="ru-RU" w:eastAsia="ru-RU" w:bidi="ru-RU"/>
              </w:rPr>
              <w:t>2. Монтаж домокомплектов</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С даты заключения контракта</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13.11.2024г.</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398"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 xml:space="preserve">3. </w:t>
            </w:r>
            <w:r>
              <w:rPr>
                <w:rFonts w:ascii="Calibri" w:eastAsia="Calibri" w:hAnsi="Calibri" w:cs="Calibri"/>
                <w:b/>
                <w:bCs/>
                <w:i/>
                <w:iCs/>
                <w:color w:val="000000"/>
                <w:spacing w:val="0"/>
                <w:w w:val="100"/>
                <w:position w:val="0"/>
                <w:sz w:val="16"/>
                <w:szCs w:val="16"/>
                <w:shd w:val="clear" w:color="auto" w:fill="auto"/>
                <w:lang w:val="ru-RU" w:eastAsia="ru-RU" w:bidi="ru-RU"/>
              </w:rPr>
              <w:t>Монтаж кровель</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33"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С даты заключения контракта</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17.11.2024г.</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 xml:space="preserve">4. </w:t>
            </w:r>
            <w:r>
              <w:rPr>
                <w:rFonts w:ascii="Calibri" w:eastAsia="Calibri" w:hAnsi="Calibri" w:cs="Calibri"/>
                <w:b/>
                <w:bCs/>
                <w:i/>
                <w:iCs/>
                <w:color w:val="000000"/>
                <w:spacing w:val="0"/>
                <w:w w:val="100"/>
                <w:position w:val="0"/>
                <w:sz w:val="16"/>
                <w:szCs w:val="16"/>
                <w:shd w:val="clear" w:color="auto" w:fill="auto"/>
                <w:lang w:val="ru-RU" w:eastAsia="ru-RU" w:bidi="ru-RU"/>
              </w:rPr>
              <w:t>Монтаж окон и входных дверей</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13.11.2024г.</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25.11.2024г.</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 xml:space="preserve">5. </w:t>
            </w:r>
            <w:r>
              <w:rPr>
                <w:rFonts w:ascii="Calibri" w:eastAsia="Calibri" w:hAnsi="Calibri" w:cs="Calibri"/>
                <w:b/>
                <w:bCs/>
                <w:i/>
                <w:iCs/>
                <w:color w:val="000000"/>
                <w:spacing w:val="0"/>
                <w:w w:val="100"/>
                <w:position w:val="0"/>
                <w:sz w:val="16"/>
                <w:szCs w:val="16"/>
                <w:shd w:val="clear" w:color="auto" w:fill="auto"/>
                <w:lang w:val="ru-RU" w:eastAsia="ru-RU" w:bidi="ru-RU"/>
              </w:rPr>
              <w:t>Монтаж фасадов</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13.11.2024г.</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08.12.2024г.</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 xml:space="preserve">6. </w:t>
            </w:r>
            <w:r>
              <w:rPr>
                <w:rFonts w:ascii="Calibri" w:eastAsia="Calibri" w:hAnsi="Calibri" w:cs="Calibri"/>
                <w:b/>
                <w:bCs/>
                <w:i/>
                <w:iCs/>
                <w:color w:val="000000"/>
                <w:spacing w:val="0"/>
                <w:w w:val="100"/>
                <w:position w:val="0"/>
                <w:sz w:val="16"/>
                <w:szCs w:val="16"/>
                <w:shd w:val="clear" w:color="auto" w:fill="auto"/>
                <w:lang w:val="ru-RU" w:eastAsia="ru-RU" w:bidi="ru-RU"/>
              </w:rPr>
              <w:t>Электрификация</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13.11.2024г.</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01.12.2024г.</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 xml:space="preserve">7. </w:t>
            </w:r>
            <w:r>
              <w:rPr>
                <w:rFonts w:ascii="Calibri" w:eastAsia="Calibri" w:hAnsi="Calibri" w:cs="Calibri"/>
                <w:b/>
                <w:bCs/>
                <w:i/>
                <w:iCs/>
                <w:color w:val="000000"/>
                <w:spacing w:val="0"/>
                <w:w w:val="100"/>
                <w:position w:val="0"/>
                <w:sz w:val="16"/>
                <w:szCs w:val="16"/>
                <w:shd w:val="clear" w:color="auto" w:fill="auto"/>
                <w:lang w:val="ru-RU" w:eastAsia="ru-RU" w:bidi="ru-RU"/>
              </w:rPr>
              <w:t>Водоснабжение и канализация</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19.11.2024г.</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08.12.2024г.</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 xml:space="preserve">8. </w:t>
            </w:r>
            <w:r>
              <w:rPr>
                <w:rFonts w:ascii="Calibri" w:eastAsia="Calibri" w:hAnsi="Calibri" w:cs="Calibri"/>
                <w:b/>
                <w:bCs/>
                <w:i/>
                <w:iCs/>
                <w:color w:val="000000"/>
                <w:spacing w:val="0"/>
                <w:w w:val="100"/>
                <w:position w:val="0"/>
                <w:sz w:val="16"/>
                <w:szCs w:val="16"/>
                <w:shd w:val="clear" w:color="auto" w:fill="auto"/>
                <w:lang w:val="ru-RU" w:eastAsia="ru-RU" w:bidi="ru-RU"/>
              </w:rPr>
              <w:t>Отопление</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02.12.2024г.</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15.12.2024г.</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0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 xml:space="preserve">9. </w:t>
            </w:r>
            <w:r>
              <w:rPr>
                <w:rFonts w:ascii="Calibri" w:eastAsia="Calibri" w:hAnsi="Calibri" w:cs="Calibri"/>
                <w:b/>
                <w:bCs/>
                <w:i/>
                <w:iCs/>
                <w:color w:val="000000"/>
                <w:spacing w:val="0"/>
                <w:w w:val="100"/>
                <w:position w:val="0"/>
                <w:sz w:val="16"/>
                <w:szCs w:val="16"/>
                <w:shd w:val="clear" w:color="auto" w:fill="auto"/>
                <w:lang w:val="ru-RU" w:eastAsia="ru-RU" w:bidi="ru-RU"/>
              </w:rPr>
              <w:t>Внутренняя отделка</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23.11.2024г.</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15.12.2024г.</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21" w:hRule="exact"/>
        </w:trPr>
        <w:tc>
          <w:tcPr>
            <w:tcBorders>
              <w:top w:val="single" w:sz="4"/>
              <w:left w:val="single" w:sz="4"/>
              <w:bottom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Ю.Прочие работы</w:t>
            </w:r>
          </w:p>
        </w:tc>
        <w:tc>
          <w:tcPr>
            <w:tcBorders>
              <w:top w:val="single" w:sz="4"/>
              <w:left w:val="single" w:sz="4"/>
              <w:bottom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13.11.2024г.</w:t>
            </w:r>
          </w:p>
        </w:tc>
        <w:tc>
          <w:tcPr>
            <w:tcBorders>
              <w:top w:val="single" w:sz="4"/>
              <w:left w:val="single" w:sz="4"/>
              <w:bottom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jc w:val="left"/>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24.11.2024г.</w:t>
            </w:r>
          </w:p>
        </w:tc>
        <w:tc>
          <w:tcPr>
            <w:tcBorders>
              <w:top w:val="single" w:sz="4"/>
              <w:left w:val="single" w:sz="4"/>
              <w:bottom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rPr>
                <w:sz w:val="16"/>
                <w:szCs w:val="16"/>
              </w:rPr>
            </w:pPr>
            <w:r>
              <w:rPr>
                <w:rFonts w:ascii="Calibri" w:eastAsia="Calibri" w:hAnsi="Calibri" w:cs="Calibri"/>
                <w:b/>
                <w:bCs/>
                <w:color w:val="000000"/>
                <w:spacing w:val="0"/>
                <w:w w:val="100"/>
                <w:position w:val="0"/>
                <w:sz w:val="16"/>
                <w:szCs w:val="16"/>
                <w:shd w:val="clear" w:color="auto" w:fill="auto"/>
                <w:lang w:val="ru-RU" w:eastAsia="ru-RU" w:bidi="ru-RU"/>
              </w:rPr>
              <w:t>31.12.2024г.</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Вместе с тем, объектом закупки является строительство объекта индивидуального жилищного строительства, которое согласно условиям проекта муниципального контракта, не предусматривает получение победителем закупки разрешения на строительство, вырубку насаждений или снос объектов капитального строительства.</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По предусмотренным согласно графику видам работ, сроки начала и окончания данных работ заказчиком установлены.</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Таким образом, в действиях заказчика не содержится нарушение норм закона о контрактной системе в части не указания сроков выполнения работ.</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Довод не нашел своего подтверждения.</w:t>
      </w:r>
    </w:p>
    <w:p>
      <w:pPr>
        <w:pStyle w:val="Style9"/>
        <w:keepNext w:val="0"/>
        <w:keepLines w:val="0"/>
        <w:widowControl w:val="0"/>
        <w:numPr>
          <w:ilvl w:val="0"/>
          <w:numId w:val="3"/>
        </w:numPr>
        <w:shd w:val="clear" w:color="auto" w:fill="auto"/>
        <w:tabs>
          <w:tab w:pos="1021" w:val="left"/>
        </w:tabs>
        <w:bidi w:val="0"/>
        <w:spacing w:before="0" w:after="0" w:line="240" w:lineRule="auto"/>
        <w:ind w:left="0" w:right="0" w:firstLine="680"/>
        <w:jc w:val="both"/>
      </w:pPr>
      <w:r>
        <w:rPr>
          <w:i/>
          <w:iCs/>
          <w:color w:val="000000"/>
          <w:spacing w:val="0"/>
          <w:w w:val="100"/>
          <w:position w:val="0"/>
          <w:shd w:val="clear" w:color="auto" w:fill="auto"/>
          <w:lang w:val="ru-RU" w:eastAsia="ru-RU" w:bidi="ru-RU"/>
        </w:rPr>
        <w:t>Относительно довода заявителя об установлении неверного порядка оценки в соответствии с Постановлением Правительства РФ №2604.</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критерии оценки заявок на участие в конкурсах, величины значимости этих критериев в соответствии с настоящим Федеральным законом.</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пункту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также порядок рассмотрения и оценки заявок на участие в конкурсах в соответствии с настоящим Федеральным законом.</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9"/>
        <w:keepNext w:val="0"/>
        <w:keepLines w:val="0"/>
        <w:widowControl w:val="0"/>
        <w:numPr>
          <w:ilvl w:val="0"/>
          <w:numId w:val="5"/>
        </w:numPr>
        <w:shd w:val="clear" w:color="auto" w:fill="auto"/>
        <w:tabs>
          <w:tab w:pos="1021" w:val="left"/>
        </w:tabs>
        <w:bidi w:val="0"/>
        <w:spacing w:before="0" w:after="0" w:line="240" w:lineRule="auto"/>
        <w:ind w:left="0" w:right="0" w:firstLine="68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9"/>
        <w:keepNext w:val="0"/>
        <w:keepLines w:val="0"/>
        <w:widowControl w:val="0"/>
        <w:numPr>
          <w:ilvl w:val="0"/>
          <w:numId w:val="5"/>
        </w:numPr>
        <w:shd w:val="clear" w:color="auto" w:fill="auto"/>
        <w:tabs>
          <w:tab w:pos="1047" w:val="left"/>
        </w:tabs>
        <w:bidi w:val="0"/>
        <w:spacing w:before="0" w:after="0" w:line="240" w:lineRule="auto"/>
        <w:ind w:left="0" w:right="0" w:firstLine="68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9"/>
        <w:keepNext w:val="0"/>
        <w:keepLines w:val="0"/>
        <w:widowControl w:val="0"/>
        <w:numPr>
          <w:ilvl w:val="0"/>
          <w:numId w:val="5"/>
        </w:numPr>
        <w:shd w:val="clear" w:color="auto" w:fill="auto"/>
        <w:tabs>
          <w:tab w:pos="1047"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9"/>
        <w:keepNext w:val="0"/>
        <w:keepLines w:val="0"/>
        <w:widowControl w:val="0"/>
        <w:numPr>
          <w:ilvl w:val="0"/>
          <w:numId w:val="5"/>
        </w:numPr>
        <w:shd w:val="clear" w:color="auto" w:fill="auto"/>
        <w:tabs>
          <w:tab w:pos="1047"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силу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 xml:space="preserve">Положение об оценке заявок на участие в закупке товаров, работ, услуг для обеспечения государственных и муниципальных нужд утверждено Постановлением Правительства РФ от 31.12.2021 И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w:t>
      </w:r>
      <w:r>
        <w:rPr>
          <w:color w:val="000000"/>
          <w:spacing w:val="0"/>
          <w:w w:val="100"/>
          <w:position w:val="0"/>
          <w:shd w:val="clear" w:color="auto" w:fill="auto"/>
          <w:lang w:val="ru-RU" w:eastAsia="ru-RU" w:bidi="ru-RU"/>
        </w:rPr>
        <w:t>от 20 декабря 2021 г. Ы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порядку рассмотрения и оценки заявок на участие в конкурсе Заказчиком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оказания услуг, связанного с предметом контракта (договора), и деловой репутации, специалистов и иных работников определенного уровня квалификации» по показателю «Наличие у участников закупки опыта поставки товара, выполнения работы, оказания услуги, связанного с предметом контракта» установлено, что Документом, предусмотренным приложением И 1 к Положению в отношении показателя оценки наличие у участников закупки опыта поставки товара, выполнения работы, оказания услуги, связанного с предметом контракта, его детализирующих показателей устанавливается положение о принятии к оценке исключительно исполненного договора (договоров) предусматривающего (-их) выполнение работ по ремонту, содержанию, капитальному ремонту, строительству, реконструкции.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также заказчиком указано, что Положение о применения критерия оценки, показателя оценки, показателя оценки, детализирующего показатель оценки, применяется по аналогии с требованиями, установленными к участникам закупки поз. 7 приложения к ПП РФ № 2571 и соответствующим требованиям п.п. «з» п. 20, п. 26 ПП РФ № 2604.</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позиции 7 Постановления №2571 по работам по строительству, реконструкции объекта капитального строительства, за исключением линейного объекта, наличие у участника закупки одного из следующих видов опыта выполнения работ, устанавливаются следующие дополнительные требования к участникам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Вместе с тем, согласно пп. «г» п. 31 Постановления Правительства РФ №2604, 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 г) документом, предусмотренным приложением Ы 1 к настоящему Положению в отношении показателя оценки, предусмотренного подпунктом "в" пункта 24 настоящего Положения, его детализирующих показателей </w:t>
      </w:r>
      <w:r>
        <w:rPr>
          <w:color w:val="000000"/>
          <w:spacing w:val="0"/>
          <w:w w:val="100"/>
          <w:position w:val="0"/>
          <w:shd w:val="clear" w:color="auto" w:fill="auto"/>
          <w:lang w:val="ru-RU" w:eastAsia="ru-RU" w:bidi="ru-RU"/>
        </w:rPr>
        <w:t>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pPr>
        <w:pStyle w:val="Style9"/>
        <w:keepNext w:val="0"/>
        <w:keepLines w:val="0"/>
        <w:widowControl w:val="0"/>
        <w:numPr>
          <w:ilvl w:val="0"/>
          <w:numId w:val="7"/>
        </w:numPr>
        <w:shd w:val="clear" w:color="auto" w:fill="auto"/>
        <w:tabs>
          <w:tab w:pos="89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pPr>
        <w:pStyle w:val="Style9"/>
        <w:keepNext w:val="0"/>
        <w:keepLines w:val="0"/>
        <w:widowControl w:val="0"/>
        <w:numPr>
          <w:ilvl w:val="0"/>
          <w:numId w:val="7"/>
        </w:numPr>
        <w:shd w:val="clear" w:color="auto" w:fill="auto"/>
        <w:tabs>
          <w:tab w:pos="148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контракт, предусмотренный частью 16.1 статьи 34 Федерального закона;</w:t>
      </w:r>
    </w:p>
    <w:p>
      <w:pPr>
        <w:pStyle w:val="Style9"/>
        <w:keepNext w:val="0"/>
        <w:keepLines w:val="0"/>
        <w:widowControl w:val="0"/>
        <w:numPr>
          <w:ilvl w:val="0"/>
          <w:numId w:val="7"/>
        </w:numPr>
        <w:shd w:val="clear" w:color="auto" w:fill="auto"/>
        <w:tabs>
          <w:tab w:pos="148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контракт, предусмотренный частью 56 статьи 112 Федерального закона;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заказчик в нарушение ч. 1 ст. 32, пп. «г» п. 31 Постановления Правительства РФ № 2604, установил неправомерный порядок оценки и рассмотрения заявок в части, касающейся подтверждения опыта работы, связанного с предметом контракта.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Довод признан обоснованным.</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Учитывая вышеизложенное, Комиссия Татарстанского УФАС России принимает решение о необходимости выдачи заказчику предписания об устранении выявленных нарушений.</w:t>
      </w:r>
    </w:p>
    <w:p>
      <w:pPr>
        <w:pStyle w:val="Style9"/>
        <w:keepNext w:val="0"/>
        <w:keepLines w:val="0"/>
        <w:widowControl w:val="0"/>
        <w:shd w:val="clear" w:color="auto" w:fill="auto"/>
        <w:bidi w:val="0"/>
        <w:spacing w:before="0" w:after="64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w:t>
      </w:r>
    </w:p>
    <w:p>
      <w:pPr>
        <w:pStyle w:val="Style9"/>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РЕШИЛА:</w:t>
      </w:r>
    </w:p>
    <w:p>
      <w:pPr>
        <w:pStyle w:val="Style9"/>
        <w:keepNext w:val="0"/>
        <w:keepLines w:val="0"/>
        <w:widowControl w:val="0"/>
        <w:numPr>
          <w:ilvl w:val="0"/>
          <w:numId w:val="9"/>
        </w:numPr>
        <w:shd w:val="clear" w:color="auto" w:fill="auto"/>
        <w:tabs>
          <w:tab w:pos="983" w:val="left"/>
          <w:tab w:pos="2744"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Признать</w:t>
        <w:tab/>
        <w:t>жалобу ОБЩЕСТВО С ОГРАНИЧЕННОЙ</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ОТВЕТСТВЕННОСТЬЮ "БРОКЕР ГРУПП" (вх. №11358/ж от 23.10.2024 г.) (в ЕИС 22.10.2024) на действия заказчика ИСПОЛНИТЕЛЬНЫЙ КОМИТЕТ ЧИСТОПОЛЬСКОГО МУНИЦИПАЛЬНОГО РАЙОНА РЕСПУБЛИКИ ТАТАРСТАН при проведении закупки по извещению № 0111300074024000116 на предмет: Строительство 2 объектов индивидуального жилищного строительства площадью по 72 кв.м малоэтажного жилого комплекса в с.Александровка Чистопольского муниципального района Республики Татарстан, предоставляемых по договорам найма жилого помещения (1), частично обоснованной по 1 и 3 доводам.</w:t>
      </w:r>
    </w:p>
    <w:p>
      <w:pPr>
        <w:pStyle w:val="Style9"/>
        <w:keepNext w:val="0"/>
        <w:keepLines w:val="0"/>
        <w:widowControl w:val="0"/>
        <w:numPr>
          <w:ilvl w:val="0"/>
          <w:numId w:val="9"/>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заказчика ИСПОЛНИТЕЛЬНЫЙ КОМИТЕТ ЧИСТОПОЛЬСКОГО МУНИЦИПАЛЬНОГО РАЙОНА РЕСПУБЛИКИ ТАТАРСТАН нарушившим требования п. 12 ч. 1 ст. 42, п.1 ч. 1 ст. 31, ч. 1 ст. 32 Федерального закона от 05.04.2013г. № 44-ФЗ «О контрактной системе в сфере закупок товаров, работ, услуг</w:t>
        <w:br w:type="page"/>
      </w:r>
      <w:r>
        <w:rPr>
          <w:color w:val="000000"/>
          <w:spacing w:val="0"/>
          <w:w w:val="100"/>
          <w:position w:val="0"/>
          <w:shd w:val="clear" w:color="auto" w:fill="auto"/>
          <w:lang w:val="ru-RU" w:eastAsia="ru-RU" w:bidi="ru-RU"/>
        </w:rPr>
        <w:t>для обеспечения государственных и муниципальных нужд», пп. «г» п. 31 Постановления Правительства РФ № 2604.</w:t>
      </w:r>
    </w:p>
    <w:p>
      <w:pPr>
        <w:pStyle w:val="Style9"/>
        <w:keepNext w:val="0"/>
        <w:keepLines w:val="0"/>
        <w:widowControl w:val="0"/>
        <w:numPr>
          <w:ilvl w:val="0"/>
          <w:numId w:val="9"/>
        </w:numPr>
        <w:shd w:val="clear" w:color="auto" w:fill="auto"/>
        <w:tabs>
          <w:tab w:pos="117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Выдать Предписание об устранении выявленных нарушений.</w:t>
      </w:r>
    </w:p>
    <w:p>
      <w:pPr>
        <w:pStyle w:val="Style9"/>
        <w:keepNext w:val="0"/>
        <w:keepLines w:val="0"/>
        <w:widowControl w:val="0"/>
        <w:numPr>
          <w:ilvl w:val="0"/>
          <w:numId w:val="9"/>
        </w:numPr>
        <w:shd w:val="clear" w:color="auto" w:fill="auto"/>
        <w:tabs>
          <w:tab w:pos="1172" w:val="left"/>
        </w:tabs>
        <w:bidi w:val="0"/>
        <w:spacing w:before="0" w:after="320" w:line="240" w:lineRule="auto"/>
        <w:ind w:left="0" w:right="0" w:firstLine="740"/>
        <w:jc w:val="both"/>
      </w:pPr>
      <w:r>
        <w:rPr>
          <w:color w:val="000000"/>
          <w:spacing w:val="0"/>
          <w:w w:val="100"/>
          <w:position w:val="0"/>
          <w:shd w:val="clear" w:color="auto" w:fill="auto"/>
          <w:lang w:val="ru-RU" w:eastAsia="ru-RU" w:bidi="ru-RU"/>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Комиссии может быть обжаловано в судебном порядке в течение трех</w:t>
      </w:r>
    </w:p>
    <w:p>
      <w:pPr>
        <w:pStyle w:val="Style9"/>
        <w:keepNext w:val="0"/>
        <w:keepLines w:val="0"/>
        <w:widowControl w:val="0"/>
        <w:shd w:val="clear" w:color="auto" w:fill="auto"/>
        <w:bidi w:val="0"/>
        <w:spacing w:before="0" w:after="960" w:line="240" w:lineRule="auto"/>
        <w:ind w:left="0" w:right="0" w:firstLine="0"/>
        <w:jc w:val="both"/>
      </w:pPr>
      <w:r>
        <w:drawing>
          <wp:anchor distT="0" distB="0" distL="114300" distR="1116965" simplePos="0" relativeHeight="125829383" behindDoc="0" locked="0" layoutInCell="1" allowOverlap="1">
            <wp:simplePos x="0" y="0"/>
            <wp:positionH relativeFrom="page">
              <wp:posOffset>4483735</wp:posOffset>
            </wp:positionH>
            <wp:positionV relativeFrom="paragraph">
              <wp:posOffset>228600</wp:posOffset>
            </wp:positionV>
            <wp:extent cx="1444625" cy="2018030"/>
            <wp:wrapSquare wrapText="lef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1444625" cy="20180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5879465</wp:posOffset>
                </wp:positionH>
                <wp:positionV relativeFrom="paragraph">
                  <wp:posOffset>838200</wp:posOffset>
                </wp:positionV>
                <wp:extent cx="1024255" cy="216535"/>
                <wp:wrapNone/>
                <wp:docPr id="13" name="Shape 13"/>
                <a:graphic xmlns:a="http://schemas.openxmlformats.org/drawingml/2006/main">
                  <a:graphicData uri="http://schemas.microsoft.com/office/word/2010/wordprocessingShape">
                    <wps:wsp>
                      <wps:cNvSpPr txBox="1"/>
                      <wps:spPr>
                        <a:xfrm>
                          <a:ext cx="1024255"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А.С. Кучеева</w:t>
                            </w:r>
                          </w:p>
                        </w:txbxContent>
                      </wps:txbx>
                      <wps:bodyPr lIns="0" tIns="0" rIns="0" bIns="0">
                        <a:noAutoFit/>
                      </wps:bodyPr>
                    </wps:wsp>
                  </a:graphicData>
                </a:graphic>
              </wp:anchor>
            </w:drawing>
          </mc:Choice>
          <mc:Fallback>
            <w:pict>
              <v:shape id="_x0000_s1039" type="#_x0000_t202" style="position:absolute;margin-left:462.94999999999999pt;margin-top:66.pt;width:80.650000000000006pt;height:17.050000000000001pt;z-index:251657729;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А.С. Кучеева</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5848985</wp:posOffset>
                </wp:positionH>
                <wp:positionV relativeFrom="paragraph">
                  <wp:posOffset>1246505</wp:posOffset>
                </wp:positionV>
                <wp:extent cx="1045210" cy="219710"/>
                <wp:wrapNone/>
                <wp:docPr id="15" name="Shape 15"/>
                <a:graphic xmlns:a="http://schemas.openxmlformats.org/drawingml/2006/main">
                  <a:graphicData uri="http://schemas.microsoft.com/office/word/2010/wordprocessingShape">
                    <wps:wsp>
                      <wps:cNvSpPr txBox="1"/>
                      <wps:spPr>
                        <a:xfrm>
                          <a:ext cx="1045210" cy="21971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Г.Р. Курмаева</w:t>
                            </w:r>
                          </w:p>
                        </w:txbxContent>
                      </wps:txbx>
                      <wps:bodyPr lIns="0" tIns="0" rIns="0" bIns="0">
                        <a:noAutoFit/>
                      </wps:bodyPr>
                    </wps:wsp>
                  </a:graphicData>
                </a:graphic>
              </wp:anchor>
            </w:drawing>
          </mc:Choice>
          <mc:Fallback>
            <w:pict>
              <v:shape id="_x0000_s1041" type="#_x0000_t202" style="position:absolute;margin-left:460.55000000000001pt;margin-top:98.150000000000006pt;width:82.299999999999997pt;height:17.300000000000001pt;z-index:251657731;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Г.Р. Курмаева</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5772785</wp:posOffset>
                </wp:positionH>
                <wp:positionV relativeFrom="paragraph">
                  <wp:posOffset>1657985</wp:posOffset>
                </wp:positionV>
                <wp:extent cx="1155065" cy="222250"/>
                <wp:wrapNone/>
                <wp:docPr id="17" name="Shape 17"/>
                <a:graphic xmlns:a="http://schemas.openxmlformats.org/drawingml/2006/main">
                  <a:graphicData uri="http://schemas.microsoft.com/office/word/2010/wordprocessingShape">
                    <wps:wsp>
                      <wps:cNvSpPr txBox="1"/>
                      <wps:spPr>
                        <a:xfrm>
                          <a:ext cx="1155065" cy="2222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Л.А. Акперова</w:t>
                            </w:r>
                          </w:p>
                        </w:txbxContent>
                      </wps:txbx>
                      <wps:bodyPr lIns="0" tIns="0" rIns="0" bIns="0">
                        <a:noAutoFit/>
                      </wps:bodyPr>
                    </wps:wsp>
                  </a:graphicData>
                </a:graphic>
              </wp:anchor>
            </w:drawing>
          </mc:Choice>
          <mc:Fallback>
            <w:pict>
              <v:shape id="_x0000_s1043" type="#_x0000_t202" style="position:absolute;margin-left:454.55000000000001pt;margin-top:130.55000000000001pt;width:90.950000000000003pt;height:17.5pt;z-index:251657733;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Л.А. Акперова</w:t>
                      </w:r>
                    </w:p>
                  </w:txbxContent>
                </v:textbox>
                <w10:wrap anchorx="page"/>
              </v:shape>
            </w:pict>
          </mc:Fallback>
        </mc:AlternateContent>
      </w:r>
      <w:r>
        <w:rPr>
          <w:color w:val="000000"/>
          <w:spacing w:val="0"/>
          <w:w w:val="100"/>
          <w:position w:val="0"/>
          <w:shd w:val="clear" w:color="auto" w:fill="auto"/>
          <w:lang w:val="ru-RU" w:eastAsia="ru-RU" w:bidi="ru-RU"/>
        </w:rPr>
        <w:t>месяцев со дня его принятия.</w:t>
      </w:r>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Зам.Председателя Комиссии:</w:t>
      </w:r>
    </w:p>
    <w:p>
      <w:pPr>
        <w:pStyle w:val="Style9"/>
        <w:keepNext w:val="0"/>
        <w:keepLines w:val="0"/>
        <w:widowControl w:val="0"/>
        <w:shd w:val="clear" w:color="auto" w:fill="auto"/>
        <w:bidi w:val="0"/>
        <w:spacing w:before="0" w:after="388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 Курмаева Г.Р.8(843)293-10-89</w:t>
      </w:r>
    </w:p>
    <w:sectPr>
      <w:headerReference w:type="default" r:id="rId13"/>
      <w:footerReference w:type="default" r:id="rId14"/>
      <w:footnotePr>
        <w:pos w:val="pageBottom"/>
        <w:numFmt w:val="decimal"/>
        <w:numRestart w:val="continuous"/>
      </w:footnotePr>
      <w:pgSz w:w="11900" w:h="16840"/>
      <w:pgMar w:top="1011" w:right="766" w:bottom="867" w:left="819" w:header="0" w:footer="439"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769620</wp:posOffset>
              </wp:positionH>
              <wp:positionV relativeFrom="page">
                <wp:posOffset>10216515</wp:posOffset>
              </wp:positionV>
              <wp:extent cx="567055" cy="118745"/>
              <wp:wrapNone/>
              <wp:docPr id="7" name="Shape 7"/>
              <a:graphic xmlns:a="http://schemas.openxmlformats.org/drawingml/2006/main">
                <a:graphicData uri="http://schemas.microsoft.com/office/word/2010/wordprocessingShape">
                  <wps:wsp>
                    <wps:cNvSpPr txBox="1"/>
                    <wps:spPr>
                      <a:xfrm>
                        <a:ext cx="567055" cy="11874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239278</w:t>
                          </w:r>
                        </w:p>
                      </w:txbxContent>
                    </wps:txbx>
                    <wps:bodyPr wrap="none" lIns="0" tIns="0" rIns="0" bIns="0">
                      <a:spAutoFit/>
                    </wps:bodyPr>
                  </wps:wsp>
                </a:graphicData>
              </a:graphic>
            </wp:anchor>
          </w:drawing>
        </mc:Choice>
        <mc:Fallback>
          <w:pict>
            <v:shape id="_x0000_s1033" type="#_x0000_t202" style="position:absolute;margin-left:60.600000000000001pt;margin-top:804.45000000000005pt;width:44.649999999999999pt;height:9.3499999999999996pt;z-index:-188744061;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239278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3766185</wp:posOffset>
              </wp:positionH>
              <wp:positionV relativeFrom="page">
                <wp:posOffset>474980</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296.55000000000001pt;margin-top:37.399999999999999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3771900</wp:posOffset>
              </wp:positionH>
              <wp:positionV relativeFrom="page">
                <wp:posOffset>407670</wp:posOffset>
              </wp:positionV>
              <wp:extent cx="54610" cy="106680"/>
              <wp:wrapNone/>
              <wp:docPr id="19" name="Shape 19"/>
              <a:graphic xmlns:a="http://schemas.openxmlformats.org/drawingml/2006/main">
                <a:graphicData uri="http://schemas.microsoft.com/office/word/2010/wordprocessingShape">
                  <wps:wsp>
                    <wps:cNvSpPr txBox="1"/>
                    <wps:spPr>
                      <a:xfrm>
                        <a:ext cx="54610" cy="1066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297.pt;margin-top:32.100000000000001pt;width:4.29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2"/>
      <w:numFmt w:val="decimal"/>
      <w:lvlText w:val="%1."/>
    </w:lvl>
    <w:lvl w:ilvl="1">
      <w:start w:val="9"/>
      <w:numFmt w:val="decimal"/>
      <w:lvlText w:val="%1.%2."/>
    </w:lvl>
    <w:lvl w:ilvl="2">
      <w:start w:val="1"/>
      <w:numFmt w:val="decimal"/>
      <w:lvlText w:val="%1.%2.%3."/>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3"/>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bCs/>
      <w:i w:val="0"/>
      <w:iCs w:val="0"/>
      <w:smallCaps w:val="0"/>
      <w:strike w:val="0"/>
      <w:color w:val="7697CD"/>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566F95"/>
      <w:sz w:val="15"/>
      <w:szCs w:val="15"/>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Подпись к таблице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Другое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Колонтитул (2)_"/>
    <w:basedOn w:val="DefaultParagraphFont"/>
    <w:link w:val="Style19"/>
    <w:rPr>
      <w:rFonts w:ascii="Times New Roman" w:eastAsia="Times New Roman" w:hAnsi="Times New Roman" w:cs="Times New Roman"/>
      <w:b w:val="0"/>
      <w:bCs w:val="0"/>
      <w:i w:val="0"/>
      <w:iCs w:val="0"/>
      <w:smallCaps w:val="0"/>
      <w:strike w:val="0"/>
      <w:sz w:val="20"/>
      <w:szCs w:val="20"/>
      <w:u w:val="none"/>
    </w:rPr>
  </w:style>
  <w:style w:type="character" w:customStyle="1" w:styleId="CharStyle25">
    <w:name w:val="Основной текст (4)_"/>
    <w:basedOn w:val="DefaultParagraphFont"/>
    <w:link w:val="Style24"/>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bCs/>
      <w:i w:val="0"/>
      <w:iCs w:val="0"/>
      <w:smallCaps w:val="0"/>
      <w:strike w:val="0"/>
      <w:color w:val="7697CD"/>
      <w:u w:val="none"/>
    </w:rPr>
  </w:style>
  <w:style w:type="paragraph" w:customStyle="1" w:styleId="Style4">
    <w:name w:val="Основной текст (3)"/>
    <w:basedOn w:val="Normal"/>
    <w:link w:val="CharStyle5"/>
    <w:pPr>
      <w:widowControl w:val="0"/>
      <w:shd w:val="clear" w:color="auto" w:fill="auto"/>
      <w:spacing w:after="610" w:line="283" w:lineRule="auto"/>
      <w:jc w:val="center"/>
    </w:pPr>
    <w:rPr>
      <w:rFonts w:ascii="Times New Roman" w:eastAsia="Times New Roman" w:hAnsi="Times New Roman" w:cs="Times New Roman"/>
      <w:b w:val="0"/>
      <w:bCs w:val="0"/>
      <w:i w:val="0"/>
      <w:iCs w:val="0"/>
      <w:smallCaps w:val="0"/>
      <w:strike w:val="0"/>
      <w:color w:val="566F95"/>
      <w:sz w:val="15"/>
      <w:szCs w:val="15"/>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Подпись к картинке"/>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Подпись к таблице"/>
    <w:basedOn w:val="Normal"/>
    <w:link w:val="CharStyle16"/>
    <w:pPr>
      <w:widowControl w:val="0"/>
      <w:shd w:val="clear" w:color="auto" w:fill="auto"/>
      <w:ind w:firstLine="68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Другое"/>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Колонтитул (2)"/>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4">
    <w:name w:val="Основной текст (4)"/>
    <w:basedOn w:val="Normal"/>
    <w:link w:val="CharStyle25"/>
    <w:pPr>
      <w:widowControl w:val="0"/>
      <w:shd w:val="clear" w:color="auto" w:fill="auto"/>
      <w:spacing w:after="110"/>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s>
</file>