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0" w:line="240" w:lineRule="auto"/>
        <w:ind w:left="1220" w:right="0" w:firstLine="0"/>
        <w:jc w:val="left"/>
      </w:pPr>
      <w:r>
        <w:drawing>
          <wp:anchor distT="130810" distB="1024255" distL="114300" distR="2641600" simplePos="0" relativeHeight="125829378" behindDoc="0" locked="0" layoutInCell="1" allowOverlap="1">
            <wp:simplePos x="0" y="0"/>
            <wp:positionH relativeFrom="page">
              <wp:posOffset>3559810</wp:posOffset>
            </wp:positionH>
            <wp:positionV relativeFrom="paragraph">
              <wp:posOffset>143510</wp:posOffset>
            </wp:positionV>
            <wp:extent cx="591185" cy="652145"/>
            <wp:wrapSquare wrapText="lef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91185" cy="652145"/>
                    </a:xfrm>
                    <a:prstGeom prst="rect"/>
                  </pic:spPr>
                </pic:pic>
              </a:graphicData>
            </a:graphic>
          </wp:anchor>
        </w:drawing>
      </w:r>
      <w:r>
        <mc:AlternateContent>
          <mc:Choice Requires="wps">
            <w:drawing>
              <wp:anchor distT="0" distB="0" distL="1189990" distR="114935" simplePos="0" relativeHeight="125829379" behindDoc="0" locked="0" layoutInCell="1" allowOverlap="1">
                <wp:simplePos x="0" y="0"/>
                <wp:positionH relativeFrom="page">
                  <wp:posOffset>4635500</wp:posOffset>
                </wp:positionH>
                <wp:positionV relativeFrom="paragraph">
                  <wp:posOffset>12700</wp:posOffset>
                </wp:positionV>
                <wp:extent cx="2038985" cy="1807210"/>
                <wp:wrapSquare wrapText="left"/>
                <wp:docPr id="3" name="Shape 3"/>
                <a:graphic xmlns:a="http://schemas.openxmlformats.org/drawingml/2006/main">
                  <a:graphicData uri="http://schemas.microsoft.com/office/word/2010/wordprocessingShape">
                    <wps:wsp>
                      <wps:cNvSpPr txBox="1"/>
                      <wps:spPr>
                        <a:xfrm>
                          <a:ext cx="2038985" cy="1807210"/>
                        </a:xfrm>
                        <a:prstGeom prst="rect"/>
                        <a:noFill/>
                      </wps:spPr>
                      <wps:txbx>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МОНОПОЛИЯМ КАРШЫ</w:t>
                              <w:br/>
                              <w:t>ФЕДЕРАЛЬ ХЕЗМЭТ</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Монополиям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80"/>
                              <w:ind w:left="0" w:right="0" w:firstLine="0"/>
                              <w:jc w:val="center"/>
                            </w:pPr>
                            <w:r>
                              <w:rPr>
                                <w:spacing w:val="0"/>
                                <w:w w:val="100"/>
                                <w:position w:val="0"/>
                                <w:shd w:val="clear" w:color="auto" w:fill="auto"/>
                                <w:lang w:val="ru-RU" w:eastAsia="ru-RU" w:bidi="ru-RU"/>
                              </w:rPr>
                              <w:t>Москоу ур., 55 йорт, Казан шоЬоре, 420021</w:t>
                              <w:br/>
                              <w:t>тел.: (843) 236-89-22. факс (843) 238-19-46</w:t>
                              <w:br/>
                              <w:t>е-таП: 1:о16@Га8.§оу.ги</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65.pt;margin-top:1.pt;width:160.55000000000001pt;height:142.30000000000001pt;z-index:-125829374;mso-wrap-distance-left:93.700000000000003pt;mso-wrap-distance-right:9.0500000000000007pt;mso-position-horizontal-relative:page" filled="f" stroked="f">
                <v:textbox inset="0,0,0,0">
                  <w:txbxContent>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МОНОПОЛИЯМ КАРШЫ</w:t>
                        <w:br/>
                        <w:t>ФЕДЕРАЛЬ ХЕЗМЭТ</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z w:val="24"/>
                          <w:szCs w:val="24"/>
                          <w:shd w:val="clear" w:color="auto" w:fill="auto"/>
                          <w:lang w:val="ru-RU" w:eastAsia="ru-RU" w:bidi="ru-RU"/>
                        </w:rPr>
                        <w:t>Монополиям каршы</w:t>
                        <w:br/>
                        <w:t>Федераль хезмэтнец</w:t>
                        <w:br/>
                        <w:t>Татарстан Республикасы</w:t>
                        <w:br/>
                        <w:t>буенча идарэсе</w:t>
                      </w:r>
                    </w:p>
                    <w:p>
                      <w:pPr>
                        <w:pStyle w:val="Style4"/>
                        <w:keepNext w:val="0"/>
                        <w:keepLines w:val="0"/>
                        <w:widowControl w:val="0"/>
                        <w:shd w:val="clear" w:color="auto" w:fill="auto"/>
                        <w:bidi w:val="0"/>
                        <w:spacing w:before="0" w:after="280"/>
                        <w:ind w:left="0" w:right="0" w:firstLine="0"/>
                        <w:jc w:val="center"/>
                      </w:pPr>
                      <w:r>
                        <w:rPr>
                          <w:spacing w:val="0"/>
                          <w:w w:val="100"/>
                          <w:position w:val="0"/>
                          <w:shd w:val="clear" w:color="auto" w:fill="auto"/>
                          <w:lang w:val="ru-RU" w:eastAsia="ru-RU" w:bidi="ru-RU"/>
                        </w:rPr>
                        <w:t>Москоу ур., 55 йорт, Казан шоЬоре, 420021</w:t>
                        <w:br/>
                        <w:t>тел.: (843) 236-89-22. факс (843) 238-19-46</w:t>
                        <w:br/>
                        <w:t>е-таП: 1:о16@Га8.§оу.ги</w:t>
                      </w:r>
                    </w:p>
                  </w:txbxContent>
                </v:textbox>
                <w10:wrap type="square" side="left" anchorx="page"/>
              </v:shape>
            </w:pict>
          </mc:Fallback>
        </mc:AlternateContent>
      </w:r>
      <w:r>
        <w:rPr>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after="300" w:line="240" w:lineRule="auto"/>
        <w:ind w:left="0" w:right="0" w:firstLine="160"/>
        <w:jc w:val="left"/>
      </w:pPr>
      <w:r>
        <w:rPr>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300" w:line="240" w:lineRule="auto"/>
        <w:ind w:left="0" w:right="0" w:firstLine="0"/>
        <w:jc w:val="center"/>
      </w:pPr>
      <w:r>
        <w:rPr>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p>
      <w:pPr>
        <w:pStyle w:val="Style4"/>
        <w:keepNext w:val="0"/>
        <w:keepLines w:val="0"/>
        <w:widowControl w:val="0"/>
        <w:shd w:val="clear" w:color="auto" w:fill="auto"/>
        <w:bidi w:val="0"/>
        <w:spacing w:before="0" w:after="960"/>
        <w:ind w:left="0" w:right="0" w:firstLine="0"/>
        <w:jc w:val="center"/>
      </w:pPr>
      <w:r>
        <w:rPr>
          <w:spacing w:val="0"/>
          <w:w w:val="100"/>
          <w:position w:val="0"/>
          <w:shd w:val="clear" w:color="auto" w:fill="auto"/>
          <w:lang w:val="ru-RU" w:eastAsia="ru-RU" w:bidi="ru-RU"/>
        </w:rPr>
        <w:t>ул. Московская, д. 55, г. Казань. 420021</w:t>
        <w:br/>
        <w:t>тел.: (843) 236-89-22, факс (843) 238-19-46</w:t>
        <w:br/>
        <w:t>е-таН: 1о16@Га8.§оу.т</w:t>
      </w:r>
    </w:p>
    <w:p>
      <w:pPr>
        <w:pStyle w:val="Style2"/>
        <w:keepNext w:val="0"/>
        <w:keepLines w:val="0"/>
        <w:widowControl w:val="0"/>
        <w:shd w:val="clear" w:color="auto" w:fill="auto"/>
        <w:bidi w:val="0"/>
        <w:spacing w:before="0" w:after="180" w:line="240" w:lineRule="auto"/>
        <w:ind w:left="0" w:right="0" w:firstLine="240"/>
        <w:jc w:val="left"/>
        <w:rPr>
          <w:sz w:val="22"/>
          <w:szCs w:val="22"/>
        </w:rPr>
      </w:pPr>
      <w:r>
        <w:rPr>
          <w:b w:val="0"/>
          <w:bCs w:val="0"/>
          <w:spacing w:val="0"/>
          <w:w w:val="100"/>
          <w:position w:val="0"/>
          <w:sz w:val="22"/>
          <w:szCs w:val="22"/>
          <w:shd w:val="clear" w:color="auto" w:fill="auto"/>
          <w:lang w:val="ru-RU" w:eastAsia="ru-RU" w:bidi="ru-RU"/>
        </w:rPr>
        <w:t>На №от</w:t>
      </w:r>
    </w:p>
    <w:p>
      <w:pPr>
        <w:pStyle w:val="Style6"/>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Заказчику:</w:t>
      </w:r>
    </w:p>
    <w:p>
      <w:pPr>
        <w:pStyle w:val="Style6"/>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ИСПОЛНИТЕЛЬНЫЙ КОМИТЕТ</w:t>
      </w:r>
    </w:p>
    <w:p>
      <w:pPr>
        <w:pStyle w:val="Style6"/>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ЧИСТОПОЛЬСКОГО</w:t>
      </w:r>
    </w:p>
    <w:p>
      <w:pPr>
        <w:pStyle w:val="Style6"/>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МУНИЦИПАЛЬНОГО РАЙОНА</w:t>
      </w:r>
    </w:p>
    <w:p>
      <w:pPr>
        <w:pStyle w:val="Style6"/>
        <w:keepNext w:val="0"/>
        <w:keepLines w:val="0"/>
        <w:widowControl w:val="0"/>
        <w:shd w:val="clear" w:color="auto" w:fill="auto"/>
        <w:bidi w:val="0"/>
        <w:spacing w:before="0" w:after="300" w:line="240" w:lineRule="auto"/>
        <w:ind w:left="5680" w:right="0" w:firstLine="0"/>
        <w:jc w:val="left"/>
      </w:pPr>
      <w:r>
        <w:rPr>
          <w:color w:val="000000"/>
          <w:spacing w:val="0"/>
          <w:w w:val="100"/>
          <w:position w:val="0"/>
          <w:shd w:val="clear" w:color="auto" w:fill="auto"/>
          <w:lang w:val="ru-RU" w:eastAsia="ru-RU" w:bidi="ru-RU"/>
        </w:rPr>
        <w:t>РЕСПУБЛИКИ ТАТАРСТАН</w:t>
      </w:r>
    </w:p>
    <w:p>
      <w:pPr>
        <w:pStyle w:val="Style6"/>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Заявителю:</w:t>
      </w:r>
    </w:p>
    <w:p>
      <w:pPr>
        <w:pStyle w:val="Style6"/>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ОБЩЕСТВО С ОГРАНИЧЕННОЙ</w:t>
      </w:r>
    </w:p>
    <w:p>
      <w:pPr>
        <w:pStyle w:val="Style6"/>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ОТВЕТСТВЕННОСТЬЮ "БРОКЕР</w:t>
      </w:r>
    </w:p>
    <w:p>
      <w:pPr>
        <w:pStyle w:val="Style6"/>
        <w:keepNext w:val="0"/>
        <w:keepLines w:val="0"/>
        <w:widowControl w:val="0"/>
        <w:shd w:val="clear" w:color="auto" w:fill="auto"/>
        <w:bidi w:val="0"/>
        <w:spacing w:before="0" w:after="0" w:line="240" w:lineRule="auto"/>
        <w:ind w:left="5680" w:right="0" w:firstLine="0"/>
        <w:jc w:val="left"/>
      </w:pPr>
      <w:r>
        <w:rPr>
          <w:color w:val="000000"/>
          <w:spacing w:val="0"/>
          <w:w w:val="100"/>
          <w:position w:val="0"/>
          <w:shd w:val="clear" w:color="auto" w:fill="auto"/>
          <w:lang w:val="ru-RU" w:eastAsia="ru-RU" w:bidi="ru-RU"/>
        </w:rPr>
        <w:t>ГРУПП"</w:t>
      </w:r>
    </w:p>
    <w:p>
      <w:pPr>
        <w:pStyle w:val="Style6"/>
        <w:keepNext w:val="0"/>
        <w:keepLines w:val="0"/>
        <w:widowControl w:val="0"/>
        <w:shd w:val="clear" w:color="auto" w:fill="auto"/>
        <w:bidi w:val="0"/>
        <w:spacing w:before="0" w:after="300" w:line="240" w:lineRule="auto"/>
        <w:ind w:left="5680" w:right="0" w:firstLine="0"/>
        <w:jc w:val="left"/>
      </w:pPr>
      <w:r>
        <w:rPr>
          <w:color w:val="000000"/>
          <w:spacing w:val="0"/>
          <w:w w:val="100"/>
          <w:position w:val="0"/>
          <w:u w:val="single"/>
          <w:shd w:val="clear" w:color="auto" w:fill="auto"/>
          <w:lang w:val="ru-RU" w:eastAsia="ru-RU" w:bidi="ru-RU"/>
        </w:rPr>
        <w:t>оооЛепбег.Ьгокег77@цта11.сот</w:t>
      </w:r>
    </w:p>
    <w:p>
      <w:pPr>
        <w:pStyle w:val="Style6"/>
        <w:keepNext w:val="0"/>
        <w:keepLines w:val="0"/>
        <w:widowControl w:val="0"/>
        <w:shd w:val="clear" w:color="auto" w:fill="auto"/>
        <w:bidi w:val="0"/>
        <w:spacing w:before="0" w:after="620" w:line="240" w:lineRule="auto"/>
        <w:ind w:left="0" w:right="0" w:firstLine="0"/>
        <w:jc w:val="center"/>
      </w:pPr>
      <w:r>
        <w:rPr>
          <w:b/>
          <w:bCs/>
          <w:color w:val="000000"/>
          <w:spacing w:val="0"/>
          <w:w w:val="100"/>
          <w:position w:val="0"/>
          <w:shd w:val="clear" w:color="auto" w:fill="auto"/>
          <w:lang w:val="ru-RU" w:eastAsia="ru-RU" w:bidi="ru-RU"/>
        </w:rPr>
        <w:t>Решение по делу № 016/06/31-1471/2024</w:t>
        <w:br/>
        <w:t>о нарушении законодательства в сфере закупок товаров, работ, услуг</w:t>
        <w:br/>
        <w:t>для обеспечения государственных и муниципальных нужд</w:t>
      </w:r>
    </w:p>
    <w:p>
      <w:pPr>
        <w:pStyle w:val="Style6"/>
        <w:keepNext w:val="0"/>
        <w:keepLines w:val="0"/>
        <w:widowControl w:val="0"/>
        <w:shd w:val="clear" w:color="auto" w:fill="auto"/>
        <w:bidi w:val="0"/>
        <w:spacing w:before="0" w:after="300" w:line="240" w:lineRule="auto"/>
        <w:ind w:left="0" w:right="0" w:firstLine="0"/>
        <w:jc w:val="left"/>
      </w:pPr>
      <w:r>
        <mc:AlternateContent>
          <mc:Choice Requires="wps">
            <w:drawing>
              <wp:anchor distT="0" distB="0" distL="114300" distR="114300" simplePos="0" relativeHeight="125829381" behindDoc="0" locked="0" layoutInCell="1" allowOverlap="1">
                <wp:simplePos x="0" y="0"/>
                <wp:positionH relativeFrom="page">
                  <wp:posOffset>6126480</wp:posOffset>
                </wp:positionH>
                <wp:positionV relativeFrom="paragraph">
                  <wp:posOffset>25400</wp:posOffset>
                </wp:positionV>
                <wp:extent cx="722630" cy="216535"/>
                <wp:wrapSquare wrapText="left"/>
                <wp:docPr id="5" name="Shape 5"/>
                <a:graphic xmlns:a="http://schemas.openxmlformats.org/drawingml/2006/main">
                  <a:graphicData uri="http://schemas.microsoft.com/office/word/2010/wordprocessingShape">
                    <wps:wsp>
                      <wps:cNvSpPr txBox="1"/>
                      <wps:spPr>
                        <a:xfrm>
                          <a:ext cx="722630" cy="216535"/>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Казань</w:t>
                            </w:r>
                          </w:p>
                        </w:txbxContent>
                      </wps:txbx>
                      <wps:bodyPr wrap="none" lIns="0" tIns="0" rIns="0" bIns="0">
                        <a:noAutoFit/>
                      </wps:bodyPr>
                    </wps:wsp>
                  </a:graphicData>
                </a:graphic>
              </wp:anchor>
            </w:drawing>
          </mc:Choice>
          <mc:Fallback>
            <w:pict>
              <v:shape id="_x0000_s1031" type="#_x0000_t202" style="position:absolute;margin-left:482.40000000000003pt;margin-top:2.pt;width:56.899999999999999pt;height:17.050000000000001pt;z-index:-125829372;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Казань</w:t>
                      </w:r>
                    </w:p>
                  </w:txbxContent>
                </v:textbox>
                <w10:wrap type="square" side="left" anchorx="page"/>
              </v:shape>
            </w:pict>
          </mc:Fallback>
        </mc:AlternateContent>
      </w:r>
      <w:r>
        <w:rPr>
          <w:color w:val="000000"/>
          <w:spacing w:val="0"/>
          <w:w w:val="100"/>
          <w:position w:val="0"/>
          <w:shd w:val="clear" w:color="auto" w:fill="auto"/>
          <w:lang w:val="ru-RU" w:eastAsia="ru-RU" w:bidi="ru-RU"/>
        </w:rPr>
        <w:t>28 октября 2024 года</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Комиссией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w:t>
      </w:r>
    </w:p>
    <w:tbl>
      <w:tblPr>
        <w:tblOverlap w:val="never"/>
        <w:jc w:val="center"/>
        <w:tblLayout w:type="fixed"/>
      </w:tblPr>
      <w:tblGrid>
        <w:gridCol w:w="5630"/>
        <w:gridCol w:w="4632"/>
      </w:tblGrid>
      <w:tr>
        <w:trPr>
          <w:trHeight w:val="662"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Зам.Председателя Комиссии:</w:t>
            </w:r>
          </w:p>
        </w:tc>
        <w:tc>
          <w:tcPr>
            <w:tcBorders/>
            <w:shd w:val="clear" w:color="auto" w:fill="auto"/>
            <w:vAlign w:val="bottom"/>
          </w:tcPr>
          <w:p>
            <w:pPr>
              <w:pStyle w:val="Style15"/>
              <w:keepNext w:val="0"/>
              <w:keepLines w:val="0"/>
              <w:widowControl w:val="0"/>
              <w:shd w:val="clear" w:color="auto" w:fill="auto"/>
              <w:bidi w:val="0"/>
              <w:spacing w:before="0" w:after="0" w:line="240" w:lineRule="auto"/>
              <w:ind w:left="420" w:right="0" w:firstLine="0"/>
              <w:jc w:val="left"/>
            </w:pPr>
            <w:r>
              <w:rPr>
                <w:color w:val="000000"/>
                <w:spacing w:val="0"/>
                <w:w w:val="100"/>
                <w:position w:val="0"/>
                <w:shd w:val="clear" w:color="auto" w:fill="auto"/>
                <w:lang w:val="ru-RU" w:eastAsia="ru-RU" w:bidi="ru-RU"/>
              </w:rPr>
              <w:t>Кучеевой А.С. - начальника отдела,</w:t>
            </w:r>
          </w:p>
        </w:tc>
      </w:tr>
      <w:tr>
        <w:trPr>
          <w:trHeight w:val="1306" w:hRule="exact"/>
        </w:trPr>
        <w:tc>
          <w:tcPr>
            <w:tcBorders/>
            <w:shd w:val="clear" w:color="auto" w:fill="auto"/>
            <w:vAlign w:val="top"/>
          </w:tcPr>
          <w:p>
            <w:pPr>
              <w:pStyle w:val="Style15"/>
              <w:keepNext w:val="0"/>
              <w:keepLines w:val="0"/>
              <w:widowControl w:val="0"/>
              <w:shd w:val="clear" w:color="auto" w:fill="auto"/>
              <w:bidi w:val="0"/>
              <w:spacing w:before="0" w:after="0" w:line="240" w:lineRule="auto"/>
              <w:ind w:left="0" w:right="0" w:firstLine="700"/>
              <w:jc w:val="left"/>
            </w:pPr>
            <w:r>
              <w:rPr>
                <w:color w:val="000000"/>
                <w:spacing w:val="0"/>
                <w:w w:val="100"/>
                <w:position w:val="0"/>
                <w:shd w:val="clear" w:color="auto" w:fill="auto"/>
                <w:lang w:val="ru-RU" w:eastAsia="ru-RU" w:bidi="ru-RU"/>
              </w:rPr>
              <w:t>Членов Комиссии:</w:t>
            </w:r>
          </w:p>
        </w:tc>
        <w:tc>
          <w:tcPr>
            <w:tcBorders/>
            <w:shd w:val="clear" w:color="auto" w:fill="auto"/>
            <w:vAlign w:val="bottom"/>
          </w:tcPr>
          <w:p>
            <w:pPr>
              <w:pStyle w:val="Style15"/>
              <w:keepNext w:val="0"/>
              <w:keepLines w:val="0"/>
              <w:widowControl w:val="0"/>
              <w:shd w:val="clear" w:color="auto" w:fill="auto"/>
              <w:tabs>
                <w:tab w:pos="2038" w:val="left"/>
                <w:tab w:pos="2777" w:val="left"/>
                <w:tab w:pos="3319" w:val="left"/>
              </w:tabs>
              <w:bidi w:val="0"/>
              <w:spacing w:before="0" w:after="0" w:line="240" w:lineRule="auto"/>
              <w:ind w:left="420" w:right="0" w:firstLine="0"/>
              <w:jc w:val="left"/>
            </w:pPr>
            <w:r>
              <w:rPr>
                <w:color w:val="000000"/>
                <w:spacing w:val="0"/>
                <w:w w:val="100"/>
                <w:position w:val="0"/>
                <w:shd w:val="clear" w:color="auto" w:fill="auto"/>
                <w:lang w:val="ru-RU" w:eastAsia="ru-RU" w:bidi="ru-RU"/>
              </w:rPr>
              <w:t>Акперовой Л.А. - главного специалиста-эксперта, Курмаевой</w:t>
              <w:tab/>
              <w:t>Г.Р.</w:t>
              <w:tab/>
              <w:t>-</w:t>
              <w:tab/>
              <w:t>старшего</w:t>
            </w:r>
          </w:p>
          <w:p>
            <w:pPr>
              <w:pStyle w:val="Style15"/>
              <w:keepNext w:val="0"/>
              <w:keepLines w:val="0"/>
              <w:widowControl w:val="0"/>
              <w:shd w:val="clear" w:color="auto" w:fill="auto"/>
              <w:bidi w:val="0"/>
              <w:spacing w:before="0" w:after="0" w:line="240" w:lineRule="auto"/>
              <w:ind w:left="0" w:right="0" w:firstLine="420"/>
              <w:jc w:val="left"/>
            </w:pPr>
            <w:r>
              <w:rPr>
                <w:color w:val="000000"/>
                <w:spacing w:val="0"/>
                <w:w w:val="100"/>
                <w:position w:val="0"/>
                <w:shd w:val="clear" w:color="auto" w:fill="auto"/>
                <w:lang w:val="ru-RU" w:eastAsia="ru-RU" w:bidi="ru-RU"/>
              </w:rPr>
              <w:t>государственного инспектора,</w:t>
            </w:r>
          </w:p>
        </w:tc>
      </w:tr>
    </w:tbl>
    <w:p>
      <w:pPr>
        <w:widowControl w:val="0"/>
        <w:spacing w:after="379" w:line="1" w:lineRule="exact"/>
      </w:pPr>
    </w:p>
    <w:p>
      <w:pPr>
        <w:pStyle w:val="Style6"/>
        <w:keepNext w:val="0"/>
        <w:keepLines w:val="0"/>
        <w:widowControl w:val="0"/>
        <w:shd w:val="clear" w:color="auto" w:fill="auto"/>
        <w:bidi w:val="0"/>
        <w:spacing w:before="0" w:after="320" w:line="240" w:lineRule="auto"/>
        <w:ind w:left="0" w:right="0" w:firstLine="720"/>
        <w:jc w:val="both"/>
      </w:pPr>
      <w:r>
        <w:rPr>
          <w:color w:val="000000"/>
          <w:spacing w:val="0"/>
          <w:w w:val="100"/>
          <w:position w:val="0"/>
          <w:shd w:val="clear" w:color="auto" w:fill="auto"/>
          <w:lang w:val="ru-RU" w:eastAsia="ru-RU" w:bidi="ru-RU"/>
        </w:rPr>
        <w:t xml:space="preserve">в отсутствии представителя Заказчика ИСПОЛНИТЕЛЬНЫЙ КОМИТЕТ ЧИСТОПОЛЬСКОГО МУНИЦИПАЛЬНОГО РАЙОНА РЕСПУБЛИКИ ТАТАРСТАН, заявителя ОБЩЕСТВО С ОГРАНИЧЕННОЙ ОТВЕТСТВЕННОСТЬЮ "БРОКЕР ГРУПП", надлежащим образом уведомленных, </w:t>
      </w:r>
      <w:r>
        <w:rPr>
          <w:color w:val="000000"/>
          <w:spacing w:val="0"/>
          <w:w w:val="100"/>
          <w:position w:val="0"/>
          <w:shd w:val="clear" w:color="auto" w:fill="auto"/>
          <w:lang w:val="ru-RU" w:eastAsia="ru-RU" w:bidi="ru-RU"/>
        </w:rPr>
        <w:t>рассмотрев по видеоконференции жалобу заявителя (вх. №11367/ж от 23.10.2024 г.) (в ЕИС 23.10.2024) на действия заказчика ИСПОЛНИТЕЛЬНЫЙ КОМИТЕТ ЧИСТОПОЛЬСКОГО МУНИЦИПАЛЬНОГО РАЙОНА РЕСПУБЛИКИ ТАТАРСТАН при проведении закупки по извещению № 0111300074024000119 на предмет: 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 (2),</w:t>
      </w:r>
    </w:p>
    <w:p>
      <w:pPr>
        <w:pStyle w:val="Style6"/>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Извещение о проведении открытого конкурса в электронной форме № 0111300074024000119 размещено на официальном сайте Российской Федерации для размещения информации о размещении заказов \у\у\у.хакирк1.§оу.ги 08.10.2024 г.</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Начальная (максимальная) цена контракта - 8 649 760,00 руб.</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Суть жалобы, по мнению заявителя, заказчиком при проведении закупки нарушены требования действующего законодательства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b/>
          <w:bCs/>
          <w:color w:val="000000"/>
          <w:spacing w:val="0"/>
          <w:w w:val="100"/>
          <w:position w:val="0"/>
          <w:shd w:val="clear" w:color="auto" w:fill="auto"/>
          <w:lang w:val="ru-RU" w:eastAsia="ru-RU" w:bidi="ru-RU"/>
        </w:rPr>
        <w:t>Комиссия Татарстанского УФАС России по результатам рассмотрения доводов заявителя на действия заказчика и позиции заказчика, изучения документации закупки приходит к следующим выводам.</w:t>
      </w:r>
    </w:p>
    <w:p>
      <w:pPr>
        <w:pStyle w:val="Style6"/>
        <w:keepNext w:val="0"/>
        <w:keepLines w:val="0"/>
        <w:widowControl w:val="0"/>
        <w:numPr>
          <w:ilvl w:val="0"/>
          <w:numId w:val="1"/>
        </w:numPr>
        <w:shd w:val="clear" w:color="auto" w:fill="auto"/>
        <w:tabs>
          <w:tab w:pos="1234" w:val="left"/>
        </w:tabs>
        <w:bidi w:val="0"/>
        <w:spacing w:before="0" w:after="0" w:line="240" w:lineRule="auto"/>
        <w:ind w:left="0" w:right="0" w:firstLine="700"/>
        <w:jc w:val="both"/>
      </w:pPr>
      <w:r>
        <w:rPr>
          <w:i/>
          <w:iCs/>
          <w:color w:val="000000"/>
          <w:spacing w:val="0"/>
          <w:w w:val="100"/>
          <w:position w:val="0"/>
          <w:shd w:val="clear" w:color="auto" w:fill="auto"/>
          <w:lang w:val="ru-RU" w:eastAsia="ru-RU" w:bidi="ru-RU"/>
        </w:rPr>
        <w:t>Относительно довода заявителя о неправомерном установлении требований к участникам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 1 части 1 статьи 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пунктами 4, 5, 18, 30, 42, 49, 54 и 59 части 1 статьи 93 настоящего Федерального закона,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320" w:line="240" w:lineRule="auto"/>
        <w:ind w:left="0" w:right="0" w:firstLine="700"/>
        <w:jc w:val="both"/>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058" w:right="760" w:bottom="821" w:left="816" w:header="0" w:footer="3" w:gutter="0"/>
          <w:pgNumType w:start="1"/>
          <w:cols w:space="720"/>
          <w:noEndnote/>
          <w:titlePg/>
          <w:rtlGutter w:val="0"/>
          <w:docGrid w:linePitch="360"/>
        </w:sectPr>
      </w:pPr>
      <w:r>
        <w:rPr>
          <w:color w:val="000000"/>
          <w:spacing w:val="0"/>
          <w:w w:val="100"/>
          <w:position w:val="0"/>
          <w:shd w:val="clear" w:color="auto" w:fill="auto"/>
          <w:lang w:val="ru-RU" w:eastAsia="ru-RU" w:bidi="ru-RU"/>
        </w:rPr>
        <w:t>Так, заказчиком в извещении установлено требование к участникам закупок в соответствии с п. 1 ч. 1 ст. 31 Закона № 44-ФЗ:</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«Работы по договорам о строительстве,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статьей 52 ГрК РФ.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 2.1.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Участником предоставляется выписка из реестра членов саморегулируемой организации (далее - СРО), основанной на членстве лиц, осуществляющих строительство, выданная по форме согласно Приказу Федеральной службы по экологическому, технологическому и атомному надзору от 04.03.2019 № 86 «Об утверждении формы выписки из реестра членов саморегулируемой организации», в соответствии с частью 4 статьи 55.17 Градостроительного кодекса РФ, и в которой должны содержаться сведения: 1. О наличии у члена СРО права осуществлять строительство объектов капитального строительства по договору строительного подряда, заключаемому с использованием конкурентных способов заключения договоров. 2. О соответствии члена СРО уровню ответственности, предусмотренному частью 13 статьи 55.16 Градостроительного кодекса РФ). Член саморегулируемой организации, основанной на членстве лиц, осуществляющих строительство, должен быть зарегистрирован в том же субъекте Российской Федерации, в котором зарегистрирована такая саморегулируемая организация, за исключением случаев, указанных в части 3 статьи 55.6 Градостроительного кодекса РФ. Указанные требования не распространяются на случаи, предусмотренные частями 2.1, 2.2 статьи 52 Градостроительного кодекса РФ».</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Татарстанского УФАС изучив материалы дела, устные и письменные пояснения заказчика, пришла к следующему.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Согласно ч. 2.1 ст. 52 Градостроительного кодекса РФ (далее - ГрК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w:t>
      </w:r>
      <w:r>
        <w:rPr>
          <w:color w:val="000000"/>
          <w:spacing w:val="0"/>
          <w:w w:val="100"/>
          <w:position w:val="0"/>
          <w:shd w:val="clear" w:color="auto" w:fill="auto"/>
          <w:lang w:val="ru-RU" w:eastAsia="ru-RU" w:bidi="ru-RU"/>
        </w:rPr>
        <w:t>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десяти миллионов рублей.</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Вместе с тем, начальная (максимальная) цена контракта по данной закупке составляет - 8 649 760,00 руб.</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ч. 2.2 ст. 52 ГрК РФ, не требуется членство в саморегулируемых организациях в области строительства, реконструкции, капитального ремонта объектов капитального строительства: лиц, осуществляющих строительство, реконструкцию, капитальный ремонт объектов, указанных в пунктах 1-3 части 17 статьи 51 настоящего Кодекса.</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 согласно пп. 1.1 ч. 17 ст. 51 ГрК РФ, Выдача разрешения на строительство не требуется в случае: 1.1) строительства, реконструкции объектов индивидуального жилищного строительства (за исключением строительства объектов индивидуального жилищного строительства с привлечением денежных средств участников долевого строительства в соответствии с Федеральным законом от 30 декабря 2004 года К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 этом, объектом закупки является - 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 (2). '</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Таким образом, Заказчиком в нарушение требований п. 12 ч. 1 ст. 42, п.1 ч. 1 ст. 31 Закона о контрактной системе, неправомерно установлено требование о принадлежности участника закупки к членам СРО.</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Довод заявителя признан обоснованным.</w:t>
      </w:r>
    </w:p>
    <w:p>
      <w:pPr>
        <w:pStyle w:val="Style6"/>
        <w:keepNext w:val="0"/>
        <w:keepLines w:val="0"/>
        <w:widowControl w:val="0"/>
        <w:numPr>
          <w:ilvl w:val="0"/>
          <w:numId w:val="1"/>
        </w:numPr>
        <w:shd w:val="clear" w:color="auto" w:fill="auto"/>
        <w:tabs>
          <w:tab w:pos="1914" w:val="left"/>
        </w:tabs>
        <w:bidi w:val="0"/>
        <w:spacing w:before="0" w:after="0" w:line="240" w:lineRule="auto"/>
        <w:ind w:left="0" w:right="0" w:firstLine="680"/>
        <w:jc w:val="both"/>
      </w:pPr>
      <w:r>
        <w:rPr>
          <w:i/>
          <w:iCs/>
          <w:color w:val="000000"/>
          <w:spacing w:val="0"/>
          <w:w w:val="100"/>
          <w:position w:val="0"/>
          <w:shd w:val="clear" w:color="auto" w:fill="auto"/>
          <w:lang w:val="ru-RU" w:eastAsia="ru-RU" w:bidi="ru-RU"/>
        </w:rPr>
        <w:t>Относительно довода заявителя о не указании сроков выполнения работ.</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ч. 6 ст. 110.2 Закона о контрактной системе, объем, содержание работ по контрактам, предметом которых являются строительство, реконструкция объектов капитального строительства, определяются проектной документацией объектов капитального строительства, а также иной технической документацией, предусмотренной такими контрактами. При этом выполнение работ по таким контрактам осуществляется в соответствии с графиком выполнения строительно-монтажных работ, являющимся обязательным приложением к таким контрактам.</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ч. 7 ст. 110.2 Закона о контрактной системе, Методики составления сметы контракта, графика оплаты выполненных по контракту работ, графика выполнения строительно-монтажных работ утверждаются уполномоченным Правительством Российской Федерации федеральным органом исполнительной власти.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Приказом Минстроя России от 05.06.2018 И 336/пр утверждены Методики составления графика выполнения строительно-монтажных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 2.9 Методики составления графика выполнения строительно</w:t>
        <w:softHyphen/>
        <w:t>монтажных работ и графика оплаты выполненных по контракту (договору), предметом которого являются строительство, реконструкция объектов капитального строительства, работ", дополнительно под табличной частью графика выполнения работ до полей для подписания его сторонами контракта в графике выполнения работ должны быть отражены даты, не позднее которых должны состояться следующие события:</w:t>
      </w:r>
    </w:p>
    <w:p>
      <w:pPr>
        <w:pStyle w:val="Style6"/>
        <w:keepNext w:val="0"/>
        <w:keepLines w:val="0"/>
        <w:widowControl w:val="0"/>
        <w:numPr>
          <w:ilvl w:val="2"/>
          <w:numId w:val="1"/>
        </w:numPr>
        <w:shd w:val="clear" w:color="auto" w:fill="auto"/>
        <w:tabs>
          <w:tab w:pos="154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подписание сторонами акта о соответствии состояния земельного участка (объекта капитального строительства, подлежащего реконструкции) условиям контракта;</w:t>
      </w:r>
    </w:p>
    <w:p>
      <w:pPr>
        <w:pStyle w:val="Style6"/>
        <w:keepNext w:val="0"/>
        <w:keepLines w:val="0"/>
        <w:widowControl w:val="0"/>
        <w:numPr>
          <w:ilvl w:val="2"/>
          <w:numId w:val="1"/>
        </w:numPr>
        <w:shd w:val="clear" w:color="auto" w:fill="auto"/>
        <w:tabs>
          <w:tab w:pos="154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передача подрядчику копии разрешения на строительство, реконструкцию объекта; копии решения собственника имущества о его сносе (при необходимости); копии разрешения на вырубку зеленых и лесных насаждений; копии технических условий и разрешений на временное присоединение объекта к сетям инженерно-технического обеспечения в соответствии с проектом организации строительства;</w:t>
      </w:r>
    </w:p>
    <w:p>
      <w:pPr>
        <w:pStyle w:val="Style6"/>
        <w:keepNext w:val="0"/>
        <w:keepLines w:val="0"/>
        <w:widowControl w:val="0"/>
        <w:numPr>
          <w:ilvl w:val="2"/>
          <w:numId w:val="1"/>
        </w:numPr>
        <w:shd w:val="clear" w:color="auto" w:fill="auto"/>
        <w:tabs>
          <w:tab w:pos="154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передача подрядчику копий документов, подтверждающих согласование производства отдельных работ, если необходимость такого согласования установлена законодательством Российской Федерации;</w:t>
      </w:r>
    </w:p>
    <w:p>
      <w:pPr>
        <w:pStyle w:val="Style6"/>
        <w:keepNext w:val="0"/>
        <w:keepLines w:val="0"/>
        <w:widowControl w:val="0"/>
        <w:numPr>
          <w:ilvl w:val="2"/>
          <w:numId w:val="1"/>
        </w:numPr>
        <w:shd w:val="clear" w:color="auto" w:fill="auto"/>
        <w:tabs>
          <w:tab w:pos="154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подключение объекта к сетям инженерно-технического обеспечения в соответствии с техническими условиями, предусмотренными проектной документацией;</w:t>
      </w:r>
    </w:p>
    <w:p>
      <w:pPr>
        <w:pStyle w:val="Style6"/>
        <w:keepNext w:val="0"/>
        <w:keepLines w:val="0"/>
        <w:widowControl w:val="0"/>
        <w:numPr>
          <w:ilvl w:val="2"/>
          <w:numId w:val="1"/>
        </w:numPr>
        <w:shd w:val="clear" w:color="auto" w:fill="auto"/>
        <w:tabs>
          <w:tab w:pos="1546"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подписание акта о соответствии состояния земельного участка условиям контракта при завершении строительства, реконструкции объекта.</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графику работ (приложение № 5 к проекту контракта) Заказчиком установлены наименование, даты начала и срок выполнения необходимых в соответствии с контрактом работ:</w:t>
      </w:r>
    </w:p>
    <w:p>
      <w:pPr>
        <w:pStyle w:val="Style22"/>
        <w:keepNext w:val="0"/>
        <w:keepLines w:val="0"/>
        <w:widowControl w:val="0"/>
        <w:shd w:val="clear" w:color="auto" w:fill="auto"/>
        <w:bidi w:val="0"/>
        <w:spacing w:before="0" w:after="220" w:line="240" w:lineRule="auto"/>
        <w:ind w:left="0" w:right="0" w:firstLine="0"/>
        <w:jc w:val="center"/>
        <w:rPr>
          <w:sz w:val="19"/>
          <w:szCs w:val="19"/>
        </w:rPr>
      </w:pPr>
      <w:r>
        <w:rPr>
          <w:b/>
          <w:bCs/>
          <w:color w:val="000000"/>
          <w:spacing w:val="0"/>
          <w:w w:val="100"/>
          <w:position w:val="0"/>
          <w:sz w:val="19"/>
          <w:szCs w:val="19"/>
          <w:shd w:val="clear" w:color="auto" w:fill="auto"/>
          <w:lang w:val="ru-RU" w:eastAsia="ru-RU" w:bidi="ru-RU"/>
        </w:rPr>
        <w:t>График выполнения работ</w:t>
      </w:r>
    </w:p>
    <w:tbl>
      <w:tblPr>
        <w:tblOverlap w:val="never"/>
        <w:jc w:val="center"/>
        <w:tblLayout w:type="fixed"/>
      </w:tblPr>
      <w:tblGrid>
        <w:gridCol w:w="3557"/>
        <w:gridCol w:w="1848"/>
        <w:gridCol w:w="1637"/>
        <w:gridCol w:w="1349"/>
        <w:gridCol w:w="1862"/>
      </w:tblGrid>
      <w:tr>
        <w:trPr>
          <w:trHeight w:val="763" w:hRule="exact"/>
        </w:trPr>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Наименование</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Дата начала работ</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Срок выполнения работ</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Срок исполнения контракта</w:t>
            </w:r>
          </w:p>
        </w:tc>
        <w:tc>
          <w:tcPr>
            <w:tcBorders>
              <w:top w:val="single" w:sz="4"/>
              <w:left w:val="single" w:sz="4"/>
              <w:righ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Представитель Генерального подрядчика (должность ФИО)</w:t>
            </w:r>
          </w:p>
        </w:tc>
      </w:tr>
      <w:tr>
        <w:trPr>
          <w:trHeight w:val="1296"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Строительство 2 объектов индивидуального жилищного строительства площадью по 72 кв.м малоэтажного жилого комплекса в с.Алексаидровка Чистопольского муниципального района Республики Татарстан, предоставляемых по договорам найма жилого помещения</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15.12.2024г.</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379" w:hRule="exact"/>
        </w:trPr>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6"/>
                <w:szCs w:val="16"/>
                <w:shd w:val="clear" w:color="auto" w:fill="auto"/>
                <w:lang w:val="ru-RU" w:eastAsia="ru-RU" w:bidi="ru-RU"/>
              </w:rPr>
              <w:t xml:space="preserve">1. </w:t>
            </w:r>
            <w:r>
              <w:rPr>
                <w:i/>
                <w:iCs/>
                <w:color w:val="000000"/>
                <w:spacing w:val="0"/>
                <w:w w:val="100"/>
                <w:position w:val="0"/>
                <w:sz w:val="15"/>
                <w:szCs w:val="15"/>
                <w:shd w:val="clear" w:color="auto" w:fill="auto"/>
                <w:lang w:val="ru-RU" w:eastAsia="ru-RU" w:bidi="ru-RU"/>
              </w:rPr>
              <w:t>Нулевой цикл (Фундамент)</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10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379" w:hRule="exact"/>
        </w:trPr>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2. </w:t>
            </w:r>
            <w:r>
              <w:rPr>
                <w:i/>
                <w:iCs/>
                <w:color w:val="000000"/>
                <w:spacing w:val="0"/>
                <w:w w:val="100"/>
                <w:position w:val="0"/>
                <w:sz w:val="15"/>
                <w:szCs w:val="15"/>
                <w:shd w:val="clear" w:color="auto" w:fill="auto"/>
                <w:lang w:val="ru-RU" w:eastAsia="ru-RU" w:bidi="ru-RU"/>
              </w:rPr>
              <w:t>Монтаж домокомплектов</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19.11.2024г.</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379" w:hRule="exact"/>
        </w:trPr>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3. </w:t>
            </w:r>
            <w:r>
              <w:rPr>
                <w:i/>
                <w:iCs/>
                <w:color w:val="000000"/>
                <w:spacing w:val="0"/>
                <w:w w:val="100"/>
                <w:position w:val="0"/>
                <w:sz w:val="15"/>
                <w:szCs w:val="15"/>
                <w:shd w:val="clear" w:color="auto" w:fill="auto"/>
                <w:lang w:val="ru-RU" w:eastAsia="ru-RU" w:bidi="ru-RU"/>
              </w:rPr>
              <w:t>Монтаж кровель</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С даты заключения контракта</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22.11.2024г.</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2"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4. </w:t>
            </w:r>
            <w:r>
              <w:rPr>
                <w:i/>
                <w:iCs/>
                <w:color w:val="000000"/>
                <w:spacing w:val="0"/>
                <w:w w:val="100"/>
                <w:position w:val="0"/>
                <w:sz w:val="15"/>
                <w:szCs w:val="15"/>
                <w:shd w:val="clear" w:color="auto" w:fill="auto"/>
                <w:lang w:val="ru-RU" w:eastAsia="ru-RU" w:bidi="ru-RU"/>
              </w:rPr>
              <w:t>Монтаж окон и входных дверей</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13.11.2024г.</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25.11.2024г.</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5. </w:t>
            </w:r>
            <w:r>
              <w:rPr>
                <w:i/>
                <w:iCs/>
                <w:color w:val="000000"/>
                <w:spacing w:val="0"/>
                <w:w w:val="100"/>
                <w:position w:val="0"/>
                <w:sz w:val="15"/>
                <w:szCs w:val="15"/>
                <w:shd w:val="clear" w:color="auto" w:fill="auto"/>
                <w:lang w:val="ru-RU" w:eastAsia="ru-RU" w:bidi="ru-RU"/>
              </w:rPr>
              <w:t>Монтаж фасадов</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13.11.2024г.</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08.12.2024г.</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11" w:hRule="exact"/>
        </w:trPr>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6. </w:t>
            </w:r>
            <w:r>
              <w:rPr>
                <w:i/>
                <w:iCs/>
                <w:color w:val="000000"/>
                <w:spacing w:val="0"/>
                <w:w w:val="100"/>
                <w:position w:val="0"/>
                <w:sz w:val="15"/>
                <w:szCs w:val="15"/>
                <w:shd w:val="clear" w:color="auto" w:fill="auto"/>
                <w:lang w:val="ru-RU" w:eastAsia="ru-RU" w:bidi="ru-RU"/>
              </w:rPr>
              <w:t>Электрификация</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13.11.2024г.</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01.12.2024г.</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2"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7. </w:t>
            </w:r>
            <w:r>
              <w:rPr>
                <w:i/>
                <w:iCs/>
                <w:color w:val="000000"/>
                <w:spacing w:val="0"/>
                <w:w w:val="100"/>
                <w:position w:val="0"/>
                <w:sz w:val="15"/>
                <w:szCs w:val="15"/>
                <w:shd w:val="clear" w:color="auto" w:fill="auto"/>
                <w:lang w:val="ru-RU" w:eastAsia="ru-RU" w:bidi="ru-RU"/>
              </w:rPr>
              <w:t>Водоснабжение и канализация</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19.11.2024г.</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08.12.2024г.</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8. </w:t>
            </w:r>
            <w:r>
              <w:rPr>
                <w:i/>
                <w:iCs/>
                <w:color w:val="000000"/>
                <w:spacing w:val="0"/>
                <w:w w:val="100"/>
                <w:position w:val="0"/>
                <w:sz w:val="15"/>
                <w:szCs w:val="15"/>
                <w:shd w:val="clear" w:color="auto" w:fill="auto"/>
                <w:lang w:val="ru-RU" w:eastAsia="ru-RU" w:bidi="ru-RU"/>
              </w:rPr>
              <w:t>Отопление</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02.12.2024 г.</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15.12.2024г.</w:t>
            </w:r>
          </w:p>
        </w:tc>
        <w:tc>
          <w:tcPr>
            <w:tcBorders>
              <w:top w:val="single" w:sz="4"/>
              <w:left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06" w:hRule="exact"/>
        </w:trPr>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 xml:space="preserve">9. </w:t>
            </w:r>
            <w:r>
              <w:rPr>
                <w:i/>
                <w:iCs/>
                <w:color w:val="000000"/>
                <w:spacing w:val="0"/>
                <w:w w:val="100"/>
                <w:position w:val="0"/>
                <w:sz w:val="15"/>
                <w:szCs w:val="15"/>
                <w:shd w:val="clear" w:color="auto" w:fill="auto"/>
                <w:lang w:val="ru-RU" w:eastAsia="ru-RU" w:bidi="ru-RU"/>
              </w:rPr>
              <w:t>Внутренняя отделка</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23.11.2024г.</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15.12.2024г.</w:t>
            </w:r>
          </w:p>
        </w:tc>
        <w:tc>
          <w:tcPr>
            <w:tcBorders>
              <w:top w:val="single" w:sz="4"/>
              <w:left w:val="single" w:sz="4"/>
            </w:tcBorders>
            <w:shd w:val="clear" w:color="auto" w:fill="auto"/>
            <w:vAlign w:val="bottom"/>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right w:val="single" w:sz="4"/>
            </w:tcBorders>
            <w:shd w:val="clear" w:color="auto" w:fill="auto"/>
            <w:vAlign w:val="top"/>
          </w:tcPr>
          <w:p>
            <w:pPr>
              <w:widowControl w:val="0"/>
              <w:rPr>
                <w:sz w:val="10"/>
                <w:szCs w:val="10"/>
              </w:rPr>
            </w:pPr>
          </w:p>
        </w:tc>
      </w:tr>
      <w:tr>
        <w:trPr>
          <w:trHeight w:val="211" w:hRule="exact"/>
        </w:trPr>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ru-RU" w:eastAsia="ru-RU" w:bidi="ru-RU"/>
              </w:rPr>
              <w:t>10.Прочие работы</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13.11.2024г.</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jc w:val="left"/>
              <w:rPr>
                <w:sz w:val="16"/>
                <w:szCs w:val="16"/>
              </w:rPr>
            </w:pPr>
            <w:r>
              <w:rPr>
                <w:b/>
                <w:bCs/>
                <w:color w:val="000000"/>
                <w:spacing w:val="0"/>
                <w:w w:val="100"/>
                <w:position w:val="0"/>
                <w:sz w:val="16"/>
                <w:szCs w:val="16"/>
                <w:shd w:val="clear" w:color="auto" w:fill="auto"/>
                <w:lang w:val="ru-RU" w:eastAsia="ru-RU" w:bidi="ru-RU"/>
              </w:rPr>
              <w:t>24.11.2024г.</w:t>
            </w:r>
          </w:p>
        </w:tc>
        <w:tc>
          <w:tcPr>
            <w:tcBorders>
              <w:top w:val="single" w:sz="4"/>
              <w:left w:val="single" w:sz="4"/>
              <w:bottom w:val="single" w:sz="4"/>
            </w:tcBorders>
            <w:shd w:val="clear" w:color="auto" w:fill="auto"/>
            <w:vAlign w:val="top"/>
          </w:tcPr>
          <w:p>
            <w:pPr>
              <w:pStyle w:val="Style15"/>
              <w:keepNext w:val="0"/>
              <w:keepLines w:val="0"/>
              <w:widowControl w:val="0"/>
              <w:shd w:val="clear" w:color="auto" w:fill="auto"/>
              <w:bidi w:val="0"/>
              <w:spacing w:before="0" w:after="0" w:line="240" w:lineRule="auto"/>
              <w:ind w:left="0" w:right="0" w:firstLine="0"/>
              <w:jc w:val="center"/>
              <w:rPr>
                <w:sz w:val="16"/>
                <w:szCs w:val="16"/>
              </w:rPr>
            </w:pPr>
            <w:r>
              <w:rPr>
                <w:b/>
                <w:bCs/>
                <w:color w:val="000000"/>
                <w:spacing w:val="0"/>
                <w:w w:val="100"/>
                <w:position w:val="0"/>
                <w:sz w:val="16"/>
                <w:szCs w:val="16"/>
                <w:shd w:val="clear" w:color="auto" w:fill="auto"/>
                <w:lang w:val="ru-RU" w:eastAsia="ru-RU" w:bidi="ru-RU"/>
              </w:rPr>
              <w:t>31.12.2024г.</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sectPr>
          <w:headerReference w:type="default" r:id="rId11"/>
          <w:footerReference w:type="default" r:id="rId12"/>
          <w:footnotePr>
            <w:pos w:val="pageBottom"/>
            <w:numFmt w:val="decimal"/>
            <w:numRestart w:val="continuous"/>
          </w:footnotePr>
          <w:type w:val="continuous"/>
          <w:pgSz w:w="11900" w:h="16840"/>
          <w:pgMar w:top="1058" w:right="760" w:bottom="821" w:left="816" w:header="0" w:footer="393" w:gutter="0"/>
          <w:cols w:space="720"/>
          <w:noEndnote/>
          <w:rtlGutter w:val="0"/>
          <w:docGrid w:linePitch="360"/>
        </w:sectPr>
      </w:pP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Вместе с тем, объектом закупки является строительство объекта индивидуального жилищного строительства, которое согласно условиям проекта муниципального контракта, не предусматривает получение победителем закупки разрешения на строительство, вырубку насаждений или снос объектов капитального строительства.</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По предусмотренным согласно графику видам работ, сроки начала и окончания данных работ заказчиком установлены.</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Таким образом, в действиях заказчика не содержится нарушение норм закона о контрактной системе в части не указания сроков выполнения работ.</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Довод не нашел своего подтверждения.</w:t>
      </w:r>
    </w:p>
    <w:p>
      <w:pPr>
        <w:pStyle w:val="Style6"/>
        <w:keepNext w:val="0"/>
        <w:keepLines w:val="0"/>
        <w:widowControl w:val="0"/>
        <w:numPr>
          <w:ilvl w:val="0"/>
          <w:numId w:val="1"/>
        </w:numPr>
        <w:shd w:val="clear" w:color="auto" w:fill="auto"/>
        <w:tabs>
          <w:tab w:pos="1234" w:val="left"/>
        </w:tabs>
        <w:bidi w:val="0"/>
        <w:spacing w:before="0" w:after="0" w:line="240" w:lineRule="auto"/>
        <w:ind w:left="0" w:right="0" w:firstLine="680"/>
        <w:jc w:val="both"/>
      </w:pPr>
      <w:r>
        <w:rPr>
          <w:i/>
          <w:iCs/>
          <w:color w:val="000000"/>
          <w:spacing w:val="0"/>
          <w:w w:val="100"/>
          <w:position w:val="0"/>
          <w:shd w:val="clear" w:color="auto" w:fill="auto"/>
          <w:lang w:val="ru-RU" w:eastAsia="ru-RU" w:bidi="ru-RU"/>
        </w:rPr>
        <w:t>Относительно довода заявителя об установлении неверного порядка оценки в соответствии с Постановлением Правительства РФ №2604.</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пунктом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критерии оценки заявок на участие в конкурсах, величины значимости этих критериев в соответствии с настоящим Федеральным законом.</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Согласно пункту 4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также порядок рассмотрения и оценки заявок на участие в конкурсах в соответствии с настоящим Федеральным законом.</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w:t>
      </w:r>
    </w:p>
    <w:p>
      <w:pPr>
        <w:pStyle w:val="Style6"/>
        <w:keepNext w:val="0"/>
        <w:keepLines w:val="0"/>
        <w:widowControl w:val="0"/>
        <w:numPr>
          <w:ilvl w:val="0"/>
          <w:numId w:val="3"/>
        </w:numPr>
        <w:shd w:val="clear" w:color="auto" w:fill="auto"/>
        <w:tabs>
          <w:tab w:pos="1029"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цена контракта, сумма цен единиц товара, работы, услуги;</w:t>
      </w:r>
    </w:p>
    <w:p>
      <w:pPr>
        <w:pStyle w:val="Style6"/>
        <w:keepNext w:val="0"/>
        <w:keepLines w:val="0"/>
        <w:widowControl w:val="0"/>
        <w:numPr>
          <w:ilvl w:val="0"/>
          <w:numId w:val="3"/>
        </w:numPr>
        <w:shd w:val="clear" w:color="auto" w:fill="auto"/>
        <w:tabs>
          <w:tab w:pos="1042" w:val="left"/>
        </w:tabs>
        <w:bidi w:val="0"/>
        <w:spacing w:before="0" w:after="0" w:line="240" w:lineRule="auto"/>
        <w:ind w:left="0" w:right="0" w:firstLine="680"/>
        <w:jc w:val="both"/>
      </w:pPr>
      <w:r>
        <w:rPr>
          <w:color w:val="000000"/>
          <w:spacing w:val="0"/>
          <w:w w:val="100"/>
          <w:position w:val="0"/>
          <w:shd w:val="clear" w:color="auto" w:fill="auto"/>
          <w:lang w:val="ru-RU" w:eastAsia="ru-RU" w:bidi="ru-RU"/>
        </w:rPr>
        <w:t>расходы на эксплуатацию и ремонт товаров, использование результатов работ;</w:t>
      </w:r>
    </w:p>
    <w:p>
      <w:pPr>
        <w:pStyle w:val="Style6"/>
        <w:keepNext w:val="0"/>
        <w:keepLines w:val="0"/>
        <w:widowControl w:val="0"/>
        <w:numPr>
          <w:ilvl w:val="0"/>
          <w:numId w:val="3"/>
        </w:numPr>
        <w:shd w:val="clear" w:color="auto" w:fill="auto"/>
        <w:tabs>
          <w:tab w:pos="1042"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качественные, функциональные и экологические характеристики объекта закупки;</w:t>
      </w:r>
    </w:p>
    <w:p>
      <w:pPr>
        <w:pStyle w:val="Style6"/>
        <w:keepNext w:val="0"/>
        <w:keepLines w:val="0"/>
        <w:widowControl w:val="0"/>
        <w:numPr>
          <w:ilvl w:val="0"/>
          <w:numId w:val="3"/>
        </w:numPr>
        <w:shd w:val="clear" w:color="auto" w:fill="auto"/>
        <w:tabs>
          <w:tab w:pos="1042"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В силу части 8 статьи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680"/>
        <w:jc w:val="both"/>
      </w:pPr>
      <w:r>
        <w:rPr>
          <w:color w:val="000000"/>
          <w:spacing w:val="0"/>
          <w:w w:val="100"/>
          <w:position w:val="0"/>
          <w:shd w:val="clear" w:color="auto" w:fill="auto"/>
          <w:lang w:val="ru-RU" w:eastAsia="ru-RU" w:bidi="ru-RU"/>
        </w:rPr>
        <w:t xml:space="preserve">Положение об оценке заявок на участие в закупке товаров, работ, услуг для обеспечения государственных и муниципальных нужд утверждено Постановлением Правительства РФ от 31.12.2021 И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w:t>
      </w:r>
      <w:r>
        <w:rPr>
          <w:color w:val="000000"/>
          <w:spacing w:val="0"/>
          <w:w w:val="100"/>
          <w:position w:val="0"/>
          <w:shd w:val="clear" w:color="auto" w:fill="auto"/>
          <w:lang w:val="ru-RU" w:eastAsia="ru-RU" w:bidi="ru-RU"/>
        </w:rPr>
        <w:t>от 20 декабря 2021 г. К 2369 и признании утратившими силу некоторых актов и отдельных положений некоторых актов Правительства Российской Федерации» (далее - Положение).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порядку рассмотрения и оценки заявок на участие в конкурсе Заказчиком по критерию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оказания услуг, связанного с предметом контракта (договора), и деловой репутации, специалистов и иных работников определенного уровня квалификации» по показателю «Наличие у участников закупки опыта поставки товара, выполнения работы, оказания услуги, связанного с предметом контракта» установлено, что Документом, предусмотренным приложением И 1 к Положению в отношении показателя оценки наличие у участников закупки опыта поставки товара, выполнения работы, оказания услуги, связанного с предметом контракта, его детализирующих показателей устанавливается положение о принятии к оценке исключительно исполненного договора (договоров) предусматривающего (-их) выполнение работ по ремонту, содержанию, капитальному ремонту, строительству, реконструкции.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этом, также заказчиком указано, что Положение о применения критерия оценки, показателя оценки, показателя оценки, детализирующего показатель оценки, применяется по аналогии с требованиями, установленными к участникам закупки поз. 7 приложения к 1111 РФ № 2571 и соответствующим требованиям п.п. «з» п. 20, п. 26 ПП РФ № 2604.</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Согласно позиции 7 Постановления №2571 по работам по строительству, реконструкции объекта капитального строительства, за исключением линейного объекта, наличие у участника закупки одного из следующих видов опыта выполнения работ, устанавливаются следующие дополнительные требования к участникам закупки: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1)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(за исключением линейного объекта);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2) опыт выполнения участником закупки, являющимся застройщиком, работ по строительству, реконструкции объекта капитального строительства (за исключением линейного объекта).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 xml:space="preserve">Вместе с тем, согласно пп. «г» п. 31 Постановления Правительства РФ №2604,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Федерального закона, а также контракт,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г) документом, предусмотренным приложением И 1 к настоящему Положению в отношении показателя оценки, предусмотренного подпунктом "в" пункта 24 настоящего Положения, его детализирующих показателей </w:t>
      </w:r>
      <w:r>
        <w:rPr>
          <w:color w:val="000000"/>
          <w:spacing w:val="0"/>
          <w:w w:val="100"/>
          <w:position w:val="0"/>
          <w:shd w:val="clear" w:color="auto" w:fill="auto"/>
          <w:lang w:val="ru-RU" w:eastAsia="ru-RU" w:bidi="ru-RU"/>
        </w:rPr>
        <w:t>устанавливается положение о принятии к оценке исключительно исполненного договора (договоров), относящегося к одному или нескольким из следующих договоров (контрактов):</w:t>
      </w:r>
    </w:p>
    <w:p>
      <w:pPr>
        <w:pStyle w:val="Style6"/>
        <w:keepNext w:val="0"/>
        <w:keepLines w:val="0"/>
        <w:widowControl w:val="0"/>
        <w:numPr>
          <w:ilvl w:val="0"/>
          <w:numId w:val="5"/>
        </w:numPr>
        <w:shd w:val="clear" w:color="auto" w:fill="auto"/>
        <w:tabs>
          <w:tab w:pos="913"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контракт, предусмотренный частью 16 статьи 34 Федерального закона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w:t>
      </w:r>
    </w:p>
    <w:p>
      <w:pPr>
        <w:pStyle w:val="Style6"/>
        <w:keepNext w:val="0"/>
        <w:keepLines w:val="0"/>
        <w:widowControl w:val="0"/>
        <w:numPr>
          <w:ilvl w:val="0"/>
          <w:numId w:val="5"/>
        </w:numPr>
        <w:shd w:val="clear" w:color="auto" w:fill="auto"/>
        <w:tabs>
          <w:tab w:pos="14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контракт, предусмотренный частью 16.1 статьи 34 Федерального закона;</w:t>
      </w:r>
    </w:p>
    <w:p>
      <w:pPr>
        <w:pStyle w:val="Style6"/>
        <w:keepNext w:val="0"/>
        <w:keepLines w:val="0"/>
        <w:widowControl w:val="0"/>
        <w:numPr>
          <w:ilvl w:val="0"/>
          <w:numId w:val="5"/>
        </w:numPr>
        <w:shd w:val="clear" w:color="auto" w:fill="auto"/>
        <w:tabs>
          <w:tab w:pos="1492"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контракт, предусмотренный частью 56 статьи 112 Федерального закона;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-договор, не относящийся к контрактам, указанным в абзацах втором - четвертом настоящего подпункта,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Таким образом, заказчик в нарушение ч. 1 ст. 32, пп. «г» п. 31 Постановления Правительства РФ № 2604, установил неправомерный порядок оценки и рассмотрения заявок в части, касающейся подтверждения опыта работы, связанного с предметом контракта.</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Довод признан обоснованным.</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Учитывая вышеизложенное, Комиссия Татарстанского УФАС России принимает решение о необходимости выдачи заказчику предписания об устранении выявленных нарушений.</w:t>
      </w:r>
    </w:p>
    <w:p>
      <w:pPr>
        <w:pStyle w:val="Style6"/>
        <w:keepNext w:val="0"/>
        <w:keepLines w:val="0"/>
        <w:widowControl w:val="0"/>
        <w:shd w:val="clear" w:color="auto" w:fill="auto"/>
        <w:bidi w:val="0"/>
        <w:spacing w:before="0" w:after="640" w:line="240" w:lineRule="auto"/>
        <w:ind w:left="0" w:right="0" w:firstLine="700"/>
        <w:jc w:val="both"/>
      </w:pPr>
      <w:r>
        <w:rPr>
          <w:color w:val="000000"/>
          <w:spacing w:val="0"/>
          <w:w w:val="100"/>
          <w:position w:val="0"/>
          <w:shd w:val="clear" w:color="auto" w:fill="auto"/>
          <w:lang w:val="ru-RU" w:eastAsia="ru-RU" w:bidi="ru-RU"/>
        </w:rPr>
        <w:t>На основании вышеизложенного, руководствуясь пунктом 2 части 22 статьи 99, частью 8 статьи 106 Федерального закона от 05.04.2013г. № 44-ФЗ «О контрактной системе в сфере закупок товаров, работ, услуг для обеспечения государственных и муниципальных нужд», Комиссия</w:t>
      </w:r>
    </w:p>
    <w:p>
      <w:pPr>
        <w:pStyle w:val="Style6"/>
        <w:keepNext w:val="0"/>
        <w:keepLines w:val="0"/>
        <w:widowControl w:val="0"/>
        <w:shd w:val="clear" w:color="auto" w:fill="auto"/>
        <w:bidi w:val="0"/>
        <w:spacing w:before="0" w:after="320" w:line="240" w:lineRule="auto"/>
        <w:ind w:left="0" w:right="0" w:firstLine="0"/>
        <w:jc w:val="center"/>
      </w:pPr>
      <w:r>
        <w:rPr>
          <w:color w:val="000000"/>
          <w:spacing w:val="0"/>
          <w:w w:val="100"/>
          <w:position w:val="0"/>
          <w:shd w:val="clear" w:color="auto" w:fill="auto"/>
          <w:lang w:val="ru-RU" w:eastAsia="ru-RU" w:bidi="ru-RU"/>
        </w:rPr>
        <w:t>РЕШИЛА:</w:t>
      </w:r>
    </w:p>
    <w:p>
      <w:pPr>
        <w:pStyle w:val="Style6"/>
        <w:keepNext w:val="0"/>
        <w:keepLines w:val="0"/>
        <w:widowControl w:val="0"/>
        <w:numPr>
          <w:ilvl w:val="0"/>
          <w:numId w:val="7"/>
        </w:numPr>
        <w:shd w:val="clear" w:color="auto" w:fill="auto"/>
        <w:tabs>
          <w:tab w:pos="983" w:val="left"/>
          <w:tab w:pos="2739" w:val="left"/>
        </w:tabs>
        <w:bidi w:val="0"/>
        <w:spacing w:before="0" w:after="0" w:line="240" w:lineRule="auto"/>
        <w:ind w:left="0" w:right="0" w:firstLine="680"/>
        <w:jc w:val="both"/>
      </w:pPr>
      <w:r>
        <w:rPr>
          <w:color w:val="000000"/>
          <w:spacing w:val="0"/>
          <w:w w:val="100"/>
          <w:position w:val="0"/>
          <w:shd w:val="clear" w:color="auto" w:fill="auto"/>
          <w:lang w:val="ru-RU" w:eastAsia="ru-RU" w:bidi="ru-RU"/>
        </w:rPr>
        <w:t>Признать</w:t>
        <w:tab/>
        <w:t>жалобу ОБЩЕСТВО С ОГРАНИЧЕННОЙ</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ОТВЕТСТВЕННОСТЬЮ "БРОКЕР ГРУПП" (вх. №11367/ж от 23.10.2024 г.) (в ЕИС 23.10.2024) на действия заказчика ИСПОЛНИТЕЛЬНЫЙ КОМИТЕТ ЧИСТОПОЛЬСКОГО МУНИЦИПАЛЬНОГО РАЙОНА РЕСПУБЛИКИ ТАТАРСТАН при проведении закупки по извещению № 0111300074024000119 на предмет: Строительство 2 объектов индивидуального жилищного строительства площадью по 72 кв.м малоэтажного жилого комплекса в с.Александровка Чистопольского муниципального района Республики Татарстан, предоставляемых по договорам найма жилого помещения (2), частично обоснованной по 1 и 3 доводам.</w:t>
      </w:r>
    </w:p>
    <w:p>
      <w:pPr>
        <w:pStyle w:val="Style6"/>
        <w:keepNext w:val="0"/>
        <w:keepLines w:val="0"/>
        <w:widowControl w:val="0"/>
        <w:numPr>
          <w:ilvl w:val="0"/>
          <w:numId w:val="7"/>
        </w:numPr>
        <w:shd w:val="clear" w:color="auto" w:fill="auto"/>
        <w:tabs>
          <w:tab w:pos="1047" w:val="left"/>
        </w:tabs>
        <w:bidi w:val="0"/>
        <w:spacing w:before="0" w:after="0" w:line="240" w:lineRule="auto"/>
        <w:ind w:left="0" w:right="0" w:firstLine="700"/>
        <w:jc w:val="both"/>
      </w:pPr>
      <w:r>
        <w:rPr>
          <w:color w:val="000000"/>
          <w:spacing w:val="0"/>
          <w:w w:val="100"/>
          <w:position w:val="0"/>
          <w:shd w:val="clear" w:color="auto" w:fill="auto"/>
          <w:lang w:val="ru-RU" w:eastAsia="ru-RU" w:bidi="ru-RU"/>
        </w:rPr>
        <w:t>Признать заказчика ИСПОЛНИТЕЛЬНЫЙ КОМИТЕТ ЧИСТОПОЛЬСКОГО МУНИЦИПАЛЬНОГО РАЙОНА РЕСПУБЛИКИ ТАТАРСТАН нарушившим требования п. 12 ч. 1 ст. 42, п.1 ч. 1 ст. 31, ч. 1 ст. 32 Федерального закона от 05.04.2013г. № 44-ФЗ «О контрактной системе в сфере закупок товаров, работ, услуг</w:t>
        <w:br w:type="page"/>
      </w:r>
      <w:r>
        <w:rPr>
          <w:color w:val="000000"/>
          <w:spacing w:val="0"/>
          <w:w w:val="100"/>
          <w:position w:val="0"/>
          <w:shd w:val="clear" w:color="auto" w:fill="auto"/>
          <w:lang w:val="ru-RU" w:eastAsia="ru-RU" w:bidi="ru-RU"/>
        </w:rPr>
        <w:t>для обеспечения государственных и муниципальных нужд», пп. «г» п. 31 Постановления Правительства РФ № 2604.</w:t>
      </w:r>
    </w:p>
    <w:p>
      <w:pPr>
        <w:pStyle w:val="Style6"/>
        <w:keepNext w:val="0"/>
        <w:keepLines w:val="0"/>
        <w:widowControl w:val="0"/>
        <w:numPr>
          <w:ilvl w:val="0"/>
          <w:numId w:val="7"/>
        </w:numPr>
        <w:shd w:val="clear" w:color="auto" w:fill="auto"/>
        <w:tabs>
          <w:tab w:pos="11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Предписание об устранении выявленных нарушений.</w:t>
      </w:r>
    </w:p>
    <w:p>
      <w:pPr>
        <w:pStyle w:val="Style6"/>
        <w:keepNext w:val="0"/>
        <w:keepLines w:val="0"/>
        <w:widowControl w:val="0"/>
        <w:numPr>
          <w:ilvl w:val="0"/>
          <w:numId w:val="7"/>
        </w:numPr>
        <w:shd w:val="clear" w:color="auto" w:fill="auto"/>
        <w:tabs>
          <w:tab w:pos="1181" w:val="left"/>
        </w:tabs>
        <w:bidi w:val="0"/>
        <w:spacing w:before="0" w:after="320" w:line="240" w:lineRule="auto"/>
        <w:ind w:left="0" w:right="0" w:firstLine="740"/>
        <w:jc w:val="both"/>
      </w:pPr>
      <w:r>
        <w:rPr>
          <w:color w:val="000000"/>
          <w:spacing w:val="0"/>
          <w:w w:val="100"/>
          <w:position w:val="0"/>
          <w:shd w:val="clear" w:color="auto" w:fill="auto"/>
          <w:lang w:val="ru-RU" w:eastAsia="ru-RU" w:bidi="ru-RU"/>
        </w:rPr>
        <w:t>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6"/>
        <w:keepNext w:val="0"/>
        <w:keepLines w:val="0"/>
        <w:widowControl w:val="0"/>
        <w:shd w:val="clear" w:color="auto" w:fill="auto"/>
        <w:bidi w:val="0"/>
        <w:spacing w:before="0" w:after="960" w:line="240" w:lineRule="auto"/>
        <w:ind w:left="0" w:right="0" w:firstLine="720"/>
        <w:jc w:val="both"/>
      </w:pPr>
      <w:r>
        <w:rPr>
          <w:color w:val="000000"/>
          <w:spacing w:val="0"/>
          <w:w w:val="100"/>
          <w:position w:val="0"/>
          <w:shd w:val="clear" w:color="auto" w:fill="auto"/>
          <w:lang w:val="ru-RU" w:eastAsia="ru-RU" w:bidi="ru-RU"/>
        </w:rPr>
        <w:t xml:space="preserve">Решение Комиссии может быть обжаловано в судебном порядке в течение трех </w:t>
      </w:r>
      <w:r>
        <w:rPr>
          <w:color w:val="000000"/>
          <w:spacing w:val="0"/>
          <w:w w:val="100"/>
          <w:position w:val="0"/>
          <w:shd w:val="clear" w:color="auto" w:fill="auto"/>
          <w:lang w:val="ru-RU" w:eastAsia="ru-RU" w:bidi="ru-RU"/>
        </w:rPr>
        <w:t>месяцев со дня его принятия.</w:t>
      </w:r>
    </w:p>
    <w:p>
      <w:pPr>
        <w:pStyle w:val="Style6"/>
        <w:keepNext w:val="0"/>
        <w:keepLines w:val="0"/>
        <w:widowControl w:val="0"/>
        <w:shd w:val="clear" w:color="auto" w:fill="auto"/>
        <w:bidi w:val="0"/>
        <w:spacing w:before="0" w:after="320" w:line="240" w:lineRule="auto"/>
        <w:ind w:left="0" w:right="0" w:firstLine="0"/>
        <w:jc w:val="both"/>
      </w:pPr>
      <w:r>
        <w:rPr>
          <w:color w:val="000000"/>
          <w:spacing w:val="0"/>
          <w:w w:val="100"/>
          <w:position w:val="0"/>
          <w:shd w:val="clear" w:color="auto" w:fill="auto"/>
          <w:lang w:val="ru-RU" w:eastAsia="ru-RU" w:bidi="ru-RU"/>
        </w:rPr>
        <w:t>Зам.Председателя Комиссии:</w:t>
      </w:r>
    </w:p>
    <w:p>
      <w:pPr>
        <w:pStyle w:val="Style6"/>
        <w:keepNext w:val="0"/>
        <w:keepLines w:val="0"/>
        <w:widowControl w:val="0"/>
        <w:shd w:val="clear" w:color="auto" w:fill="auto"/>
        <w:bidi w:val="0"/>
        <w:spacing w:before="0" w:after="3880" w:line="240" w:lineRule="auto"/>
        <w:ind w:left="0" w:right="0" w:firstLine="0"/>
        <w:jc w:val="both"/>
      </w:pPr>
      <w:r>
        <w:rPr>
          <w:color w:val="000000"/>
          <w:spacing w:val="0"/>
          <w:w w:val="100"/>
          <w:position w:val="0"/>
          <w:shd w:val="clear" w:color="auto" w:fill="auto"/>
          <w:lang w:val="ru-RU" w:eastAsia="ru-RU" w:bidi="ru-RU"/>
        </w:rPr>
        <w:t>Члены Комиссии:</w:t>
      </w:r>
    </w:p>
    <w:p>
      <w:pPr>
        <w:pStyle w:val="Style22"/>
        <w:keepNext w:val="0"/>
        <w:keepLines w:val="0"/>
        <w:widowControl w:val="0"/>
        <w:shd w:val="clear" w:color="auto" w:fill="auto"/>
        <w:bidi w:val="0"/>
        <w:spacing w:before="0" w:after="0" w:line="240" w:lineRule="auto"/>
        <w:ind w:left="0" w:right="0" w:firstLine="0"/>
        <w:jc w:val="both"/>
      </w:pPr>
      <w:r>
        <w:drawing>
          <wp:anchor distT="0" distB="0" distL="114300" distR="1162685" simplePos="0" relativeHeight="125829383" behindDoc="0" locked="0" layoutInCell="1" allowOverlap="1">
            <wp:simplePos x="0" y="0"/>
            <wp:positionH relativeFrom="page">
              <wp:posOffset>4465320</wp:posOffset>
            </wp:positionH>
            <wp:positionV relativeFrom="margin">
              <wp:posOffset>2246630</wp:posOffset>
            </wp:positionV>
            <wp:extent cx="1414145" cy="2414270"/>
            <wp:wrapSquare wrapText="lef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3"/>
                    <a:stretch/>
                  </pic:blipFill>
                  <pic:spPr>
                    <a:xfrm>
                      <a:ext cx="1414145" cy="24142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5882640</wp:posOffset>
                </wp:positionH>
                <wp:positionV relativeFrom="margin">
                  <wp:posOffset>2950845</wp:posOffset>
                </wp:positionV>
                <wp:extent cx="1024255" cy="219710"/>
                <wp:wrapNone/>
                <wp:docPr id="15" name="Shape 15"/>
                <a:graphic xmlns:a="http://schemas.openxmlformats.org/drawingml/2006/main">
                  <a:graphicData uri="http://schemas.microsoft.com/office/word/2010/wordprocessingShape">
                    <wps:wsp>
                      <wps:cNvSpPr txBox="1"/>
                      <wps:spPr>
                        <a:xfrm>
                          <a:ext cx="1024255" cy="21971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А.С. Кучеева</w:t>
                            </w:r>
                          </w:p>
                        </w:txbxContent>
                      </wps:txbx>
                      <wps:bodyPr lIns="0" tIns="0" rIns="0" bIns="0">
                        <a:noAutoFit/>
                      </wps:bodyPr>
                    </wps:wsp>
                  </a:graphicData>
                </a:graphic>
              </wp:anchor>
            </w:drawing>
          </mc:Choice>
          <mc:Fallback>
            <w:pict>
              <v:shape id="_x0000_s1041" type="#_x0000_t202" style="position:absolute;margin-left:463.19999999999999pt;margin-top:232.34999999999999pt;width:80.650000000000006pt;height:17.300000000000001pt;z-index:251657729;mso-wrap-distance-left:0;mso-wrap-distance-right:0;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А.С. Кучеева</w:t>
                      </w:r>
                    </w:p>
                  </w:txbxContent>
                </v:textbox>
                <w10:wrap anchorx="page" anchory="margin"/>
              </v:shape>
            </w:pict>
          </mc:Fallback>
        </mc:AlternateContent>
      </w:r>
      <w:r>
        <mc:AlternateContent>
          <mc:Choice Requires="wps">
            <w:drawing>
              <wp:anchor distT="0" distB="0" distL="0" distR="0" simplePos="0" relativeHeight="503316484" behindDoc="0" locked="0" layoutInCell="1" allowOverlap="1">
                <wp:simplePos x="0" y="0"/>
                <wp:positionH relativeFrom="page">
                  <wp:posOffset>5848985</wp:posOffset>
                </wp:positionH>
                <wp:positionV relativeFrom="margin">
                  <wp:posOffset>3359150</wp:posOffset>
                </wp:positionV>
                <wp:extent cx="1045210" cy="225425"/>
                <wp:wrapNone/>
                <wp:docPr id="17" name="Shape 17"/>
                <a:graphic xmlns:a="http://schemas.openxmlformats.org/drawingml/2006/main">
                  <a:graphicData uri="http://schemas.microsoft.com/office/word/2010/wordprocessingShape">
                    <wps:wsp>
                      <wps:cNvSpPr txBox="1"/>
                      <wps:spPr>
                        <a:xfrm>
                          <a:ext cx="1045210" cy="22542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wps:txbx>
                      <wps:bodyPr lIns="0" tIns="0" rIns="0" bIns="0">
                        <a:noAutoFit/>
                      </wps:bodyPr>
                    </wps:wsp>
                  </a:graphicData>
                </a:graphic>
              </wp:anchor>
            </w:drawing>
          </mc:Choice>
          <mc:Fallback>
            <w:pict>
              <v:shape id="_x0000_s1043" type="#_x0000_t202" style="position:absolute;margin-left:460.55000000000001pt;margin-top:264.5pt;width:82.299999999999997pt;height:17.75pt;z-index:251657731;mso-wrap-distance-left:0;mso-wrap-distance-right:0;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Г.Р. Курмаева</w:t>
                      </w:r>
                    </w:p>
                  </w:txbxContent>
                </v:textbox>
                <w10:wrap anchorx="page" anchory="margin"/>
              </v:shape>
            </w:pict>
          </mc:Fallback>
        </mc:AlternateContent>
      </w:r>
      <w:r>
        <mc:AlternateContent>
          <mc:Choice Requires="wps">
            <w:drawing>
              <wp:anchor distT="0" distB="0" distL="0" distR="0" simplePos="0" relativeHeight="503316486" behindDoc="0" locked="0" layoutInCell="1" allowOverlap="1">
                <wp:simplePos x="0" y="0"/>
                <wp:positionH relativeFrom="page">
                  <wp:posOffset>5772785</wp:posOffset>
                </wp:positionH>
                <wp:positionV relativeFrom="margin">
                  <wp:posOffset>3773805</wp:posOffset>
                </wp:positionV>
                <wp:extent cx="1155065" cy="222250"/>
                <wp:wrapNone/>
                <wp:docPr id="19" name="Shape 19"/>
                <a:graphic xmlns:a="http://schemas.openxmlformats.org/drawingml/2006/main">
                  <a:graphicData uri="http://schemas.microsoft.com/office/word/2010/wordprocessingShape">
                    <wps:wsp>
                      <wps:cNvSpPr txBox="1"/>
                      <wps:spPr>
                        <a:xfrm>
                          <a:ext cx="1155065" cy="22225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Л.А. Акперова</w:t>
                            </w:r>
                          </w:p>
                        </w:txbxContent>
                      </wps:txbx>
                      <wps:bodyPr lIns="0" tIns="0" rIns="0" bIns="0">
                        <a:noAutoFit/>
                      </wps:bodyPr>
                    </wps:wsp>
                  </a:graphicData>
                </a:graphic>
              </wp:anchor>
            </w:drawing>
          </mc:Choice>
          <mc:Fallback>
            <w:pict>
              <v:shape id="_x0000_s1045" type="#_x0000_t202" style="position:absolute;margin-left:454.55000000000001pt;margin-top:297.15000000000003pt;width:90.950000000000003pt;height:17.5pt;z-index:251657733;mso-wrap-distance-left:0;mso-wrap-distance-right:0;mso-position-horizontal-relative:page;mso-position-vertical-relative:margin"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Л.А. Акперова</w:t>
                      </w:r>
                    </w:p>
                  </w:txbxContent>
                </v:textbox>
                <w10:wrap anchorx="page" anchory="margin"/>
              </v:shape>
            </w:pict>
          </mc:Fallback>
        </mc:AlternateContent>
      </w:r>
      <w:r>
        <w:rPr>
          <w:color w:val="000000"/>
          <w:spacing w:val="0"/>
          <w:w w:val="100"/>
          <w:position w:val="0"/>
          <w:shd w:val="clear" w:color="auto" w:fill="auto"/>
          <w:lang w:val="ru-RU" w:eastAsia="ru-RU" w:bidi="ru-RU"/>
        </w:rPr>
        <w:t>Исп.: Курмаева Г.Р.8(843)293-10-89</w:t>
      </w:r>
    </w:p>
    <w:sectPr>
      <w:headerReference w:type="default" r:id="rId15"/>
      <w:footerReference w:type="default" r:id="rId16"/>
      <w:headerReference w:type="first" r:id="rId17"/>
      <w:footerReference w:type="first" r:id="rId18"/>
      <w:footnotePr>
        <w:pos w:val="pageBottom"/>
        <w:numFmt w:val="decimal"/>
        <w:numRestart w:val="continuous"/>
      </w:footnotePr>
      <w:pgSz w:w="11900" w:h="16840"/>
      <w:pgMar w:top="1058" w:right="760" w:bottom="821" w:left="816" w:header="0" w:footer="3" w:gutter="0"/>
      <w:cols w:space="720"/>
      <w:noEndnote/>
      <w:titlePg/>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764540</wp:posOffset>
              </wp:positionH>
              <wp:positionV relativeFrom="page">
                <wp:posOffset>10285730</wp:posOffset>
              </wp:positionV>
              <wp:extent cx="563880" cy="115570"/>
              <wp:wrapNone/>
              <wp:docPr id="9" name="Shape 9"/>
              <a:graphic xmlns:a="http://schemas.openxmlformats.org/drawingml/2006/main">
                <a:graphicData uri="http://schemas.microsoft.com/office/word/2010/wordprocessingShape">
                  <wps:wsp>
                    <wps:cNvSpPr txBox="1"/>
                    <wps:spPr>
                      <a:xfrm>
                        <a:ext cx="563880" cy="11557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Fonts w:ascii="Cambria" w:eastAsia="Cambria" w:hAnsi="Cambria" w:cs="Cambria"/>
                              <w:color w:val="000000"/>
                              <w:spacing w:val="0"/>
                              <w:w w:val="100"/>
                              <w:position w:val="0"/>
                              <w:sz w:val="28"/>
                              <w:szCs w:val="28"/>
                              <w:shd w:val="clear" w:color="auto" w:fill="auto"/>
                              <w:lang w:val="ru-RU" w:eastAsia="ru-RU" w:bidi="ru-RU"/>
                            </w:rPr>
                            <w:t>239281</w:t>
                          </w:r>
                        </w:p>
                      </w:txbxContent>
                    </wps:txbx>
                    <wps:bodyPr wrap="none" lIns="0" tIns="0" rIns="0" bIns="0">
                      <a:spAutoFit/>
                    </wps:bodyPr>
                  </wps:wsp>
                </a:graphicData>
              </a:graphic>
            </wp:anchor>
          </w:drawing>
        </mc:Choice>
        <mc:Fallback>
          <w:pict>
            <v:shape id="_x0000_s1035" type="#_x0000_t202" style="position:absolute;margin-left:60.200000000000003pt;margin-top:809.89999999999998pt;width:44.399999999999999pt;height:9.0999999999999996pt;z-index:-188744061;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8"/>
                        <w:szCs w:val="28"/>
                      </w:rPr>
                    </w:pPr>
                    <w:r>
                      <w:rPr>
                        <w:rFonts w:ascii="Cambria" w:eastAsia="Cambria" w:hAnsi="Cambria" w:cs="Cambria"/>
                        <w:color w:val="000000"/>
                        <w:spacing w:val="0"/>
                        <w:w w:val="100"/>
                        <w:position w:val="0"/>
                        <w:sz w:val="28"/>
                        <w:szCs w:val="28"/>
                        <w:shd w:val="clear" w:color="auto" w:fill="auto"/>
                        <w:lang w:val="ru-RU" w:eastAsia="ru-RU" w:bidi="ru-RU"/>
                      </w:rPr>
                      <w:t>239281</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3766820</wp:posOffset>
              </wp:positionH>
              <wp:positionV relativeFrom="page">
                <wp:posOffset>501650</wp:posOffset>
              </wp:positionV>
              <wp:extent cx="64135" cy="106680"/>
              <wp:wrapNone/>
              <wp:docPr id="7" name="Shape 7"/>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296.60000000000002pt;margin-top:39.5pt;width:5.0499999999999998pt;height:8.4000000000000004pt;z-index:-188744063;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3780790</wp:posOffset>
              </wp:positionH>
              <wp:positionV relativeFrom="page">
                <wp:posOffset>415925</wp:posOffset>
              </wp:positionV>
              <wp:extent cx="54610" cy="106680"/>
              <wp:wrapNone/>
              <wp:docPr id="11" name="Shape 11"/>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297.69999999999999pt;margin-top:32.75pt;width:4.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3780790</wp:posOffset>
              </wp:positionH>
              <wp:positionV relativeFrom="page">
                <wp:posOffset>415925</wp:posOffset>
              </wp:positionV>
              <wp:extent cx="54610" cy="106680"/>
              <wp:wrapNone/>
              <wp:docPr id="21" name="Shape 21"/>
              <a:graphic xmlns:a="http://schemas.openxmlformats.org/drawingml/2006/main">
                <a:graphicData uri="http://schemas.microsoft.com/office/word/2010/wordprocessingShape">
                  <wps:wsp>
                    <wps:cNvSpPr txBox="1"/>
                    <wps:spPr>
                      <a:xfrm>
                        <a:ext cx="54610" cy="1066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7" type="#_x0000_t202" style="position:absolute;margin-left:297.69999999999999pt;margin-top:32.75pt;width:4.2999999999999998pt;height:8.4000000000000004pt;z-index:-188744057;mso-wrap-style:none;mso-wrap-distance-left:0;mso-wrap-distance-right:0;mso-position-horizontal-relative:page;mso-position-vertical-relative:page" wrapcoords="0 0" filled="f" stroked="f">
              <v:textbox style="mso-fit-shape-to-text:t" inset="0,0,0,0">
                <w:txbxContent>
                  <w:p>
                    <w:pPr>
                      <w:pStyle w:val="Style17"/>
                      <w:keepNext w:val="0"/>
                      <w:keepLines w:val="0"/>
                      <w:widowControl w:val="0"/>
                      <w:shd w:val="clear" w:color="auto" w:fill="auto"/>
                      <w:bidi w:val="0"/>
                      <w:spacing w:before="0" w:after="0" w:line="240" w:lineRule="auto"/>
                      <w:ind w:left="0" w:right="0" w:firstLine="0"/>
                      <w:jc w:val="left"/>
                      <w:rPr>
                        <w:sz w:val="22"/>
                        <w:szCs w:val="22"/>
                      </w:rPr>
                    </w:pPr>
                    <w:fldSimple w:instr=" PAGE \* MERGEFORMAT ">
                      <w:r>
                        <w:rPr>
                          <w:color w:val="000000"/>
                          <w:spacing w:val="0"/>
                          <w:w w:val="100"/>
                          <w:position w:val="0"/>
                          <w:sz w:val="22"/>
                          <w:szCs w:val="22"/>
                          <w:shd w:val="clear" w:color="auto" w:fill="auto"/>
                          <w:lang w:val="ru-RU" w:eastAsia="ru-RU" w:bidi="ru-RU"/>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iCs/>
        <w:smallCaps w:val="0"/>
        <w:strike w:val="0"/>
        <w:color w:val="000000"/>
        <w:spacing w:val="0"/>
        <w:w w:val="100"/>
        <w:position w:val="0"/>
        <w:sz w:val="28"/>
        <w:szCs w:val="28"/>
        <w:u w:val="none"/>
        <w:shd w:val="clear" w:color="auto" w:fill="auto"/>
        <w:lang w:val="ru-RU" w:eastAsia="ru-RU" w:bidi="ru-RU"/>
      </w:rPr>
    </w:lvl>
    <w:lvl w:ilvl="1">
      <w:start w:val="1"/>
      <w:numFmt w:val="decimal"/>
      <w:lvlText w:val="%1.%2."/>
    </w:lvl>
    <w:lvl w:ilvl="2">
      <w:start w:val="1"/>
      <w:numFmt w:val="decimal"/>
      <w:lvlText w:val="%1.%2.%3."/>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bCs/>
      <w:i w:val="0"/>
      <w:iCs w:val="0"/>
      <w:smallCaps w:val="0"/>
      <w:strike w:val="0"/>
      <w:color w:val="7596CD"/>
      <w:u w:val="none"/>
    </w:rPr>
  </w:style>
  <w:style w:type="character" w:customStyle="1" w:styleId="CharStyle5">
    <w:name w:val="Основной текст (3)_"/>
    <w:basedOn w:val="DefaultParagraphFont"/>
    <w:link w:val="Style4"/>
    <w:rPr>
      <w:rFonts w:ascii="Times New Roman" w:eastAsia="Times New Roman" w:hAnsi="Times New Roman" w:cs="Times New Roman"/>
      <w:b w:val="0"/>
      <w:bCs w:val="0"/>
      <w:i w:val="0"/>
      <w:iCs w:val="0"/>
      <w:smallCaps w:val="0"/>
      <w:strike w:val="0"/>
      <w:color w:val="556E96"/>
      <w:sz w:val="15"/>
      <w:szCs w:val="15"/>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4">
    <w:name w:val="Подпись к таблице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Другое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Колонтитул (2)_"/>
    <w:basedOn w:val="DefaultParagraphFont"/>
    <w:link w:val="Style17"/>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Основной текст (4)_"/>
    <w:basedOn w:val="DefaultParagraphFont"/>
    <w:link w:val="Style22"/>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2)"/>
    <w:basedOn w:val="Normal"/>
    <w:link w:val="CharStyle3"/>
    <w:pPr>
      <w:widowControl w:val="0"/>
      <w:shd w:val="clear" w:color="auto" w:fill="auto"/>
      <w:spacing w:after="280"/>
      <w:jc w:val="center"/>
    </w:pPr>
    <w:rPr>
      <w:rFonts w:ascii="Times New Roman" w:eastAsia="Times New Roman" w:hAnsi="Times New Roman" w:cs="Times New Roman"/>
      <w:b/>
      <w:bCs/>
      <w:i w:val="0"/>
      <w:iCs w:val="0"/>
      <w:smallCaps w:val="0"/>
      <w:strike w:val="0"/>
      <w:color w:val="7596CD"/>
      <w:u w:val="none"/>
    </w:rPr>
  </w:style>
  <w:style w:type="paragraph" w:customStyle="1" w:styleId="Style4">
    <w:name w:val="Основной текст (3)"/>
    <w:basedOn w:val="Normal"/>
    <w:link w:val="CharStyle5"/>
    <w:pPr>
      <w:widowControl w:val="0"/>
      <w:shd w:val="clear" w:color="auto" w:fill="auto"/>
      <w:spacing w:after="620" w:line="283" w:lineRule="auto"/>
      <w:jc w:val="center"/>
    </w:pPr>
    <w:rPr>
      <w:rFonts w:ascii="Times New Roman" w:eastAsia="Times New Roman" w:hAnsi="Times New Roman" w:cs="Times New Roman"/>
      <w:b w:val="0"/>
      <w:bCs w:val="0"/>
      <w:i w:val="0"/>
      <w:iCs w:val="0"/>
      <w:smallCaps w:val="0"/>
      <w:strike w:val="0"/>
      <w:color w:val="556E96"/>
      <w:sz w:val="15"/>
      <w:szCs w:val="15"/>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Подпись к картинке"/>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8"/>
      <w:szCs w:val="28"/>
      <w:u w:val="none"/>
    </w:rPr>
  </w:style>
  <w:style w:type="paragraph" w:customStyle="1" w:styleId="Style13">
    <w:name w:val="Подпись к таблице"/>
    <w:basedOn w:val="Normal"/>
    <w:link w:val="CharStyle14"/>
    <w:pPr>
      <w:widowControl w:val="0"/>
      <w:shd w:val="clear" w:color="auto" w:fill="auto"/>
      <w:ind w:firstLine="68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Другое"/>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Колонтитул (2)"/>
    <w:basedOn w:val="Normal"/>
    <w:link w:val="CharStyle18"/>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Основной текст (4)"/>
    <w:basedOn w:val="Normal"/>
    <w:link w:val="CharStyle23"/>
    <w:pPr>
      <w:widowControl w:val="0"/>
      <w:shd w:val="clear" w:color="auto" w:fill="auto"/>
      <w:spacing w:after="110"/>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header" Target="header5.xml"/><Relationship Id="rId18" Type="http://schemas.openxmlformats.org/officeDocument/2006/relationships/footer" Target="footer5.xml"/></Relationships>
</file>