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3726180</wp:posOffset>
            </wp:positionH>
            <wp:positionV relativeFrom="paragraph">
              <wp:posOffset>12700</wp:posOffset>
            </wp:positionV>
            <wp:extent cx="524510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Адыгея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40, г. Майкоп, 385000</w:t>
        <w:br/>
        <w:t>тел. (8772)57-05-22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smallCap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е-тай: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1о01@Й8.§оу.гц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320" w:line="233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2.11.2024</w:t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№ АЖ/3230/24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46619B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21280" cy="18288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МОНОПОЛИЕМ ПЭПНУЕКЮРЭ</w:t>
        <w:br/>
        <w:t>ФЕДЕРАЛЬНЭ КЪУЛЫКЪУР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Монополием пэш!уек1орэ</w:t>
        <w:br/>
        <w:t>Федеральнэ къулыкъум</w:t>
        <w:br/>
        <w:t>Адыгэ РеспублкэмкТэ и</w:t>
        <w:br/>
        <w:t>Г ъэТорышТап!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Лениным иур.. 40, къ. Мыекъуапэ, 385000</w:t>
        <w:br/>
        <w:t>тел./факс: (8772) 57-05-22</w:t>
        <w:br/>
        <w:t>е-тай: 1о01@Га8.§оу.ги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РА "ШОВГЕНОВСКАЯ ЦРБ"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8ЙОVд^8^Ъ@уап4еx.^и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462" w:right="810" w:bottom="1208" w:left="1121" w:header="0" w:footer="3" w:gutter="0"/>
          <w:pgNumType w:start="1"/>
          <w:cols w:num="2" w:space="720" w:equalWidth="0">
            <w:col w:w="4296" w:space="686"/>
            <w:col w:w="498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"Люблинская Торговая Компания" 109387, г. Москва, ул. Ейская, 11/31, кв. 7 ой!се@1-йгт.ги</w:t>
      </w:r>
    </w:p>
    <w:p>
      <w:pPr>
        <w:widowControl w:val="0"/>
        <w:spacing w:line="130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7" w:right="0" w:bottom="9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Акционерное общество "Единая электронная торговая площадка" г. Москва, ул. Кожевническая, 14, стр.5 тГо@ГО8екогд.ги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6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№001/06/93-598/2024 о нарушении законодательства</w:t>
        <w:br/>
        <w:t>о контрактной системе в сфере закупок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914" w:val="left"/>
        </w:tabs>
        <w:bidi w:val="0"/>
        <w:spacing w:before="0" w:after="8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 ноября 2024 года</w:t>
        <w:tab/>
        <w:t>г. Майкоп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оглашена: 30.10.2024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изготовлено: 02.11.2024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 w:line="269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Адыгея по контролю в сфере закупок (далее - Комиссия УФАС) в составе: председателя Комиссии УФАС - Жукова А.Г., временно исполняющего обязанности руководителя Управления, членов Комиссии: Керашевой С.М., главного специалиста-эксперта; Клюкиной Н.А., ведущего специалиста-эксперта, с участием представителей: Заказчика - ГБУЗ РА «Шовгеновская ЦРБ» (далее - Заказчик) Зафесовой Е.Н. (доверенность от 15.10.2024), Сиюхова К.А. (доверенность 15.10.2024), Заявителя - ООО «Люблинская Торговая Компания» (далее - Заявитель) директора Домбровского Д.Д., рассмотрев жалобу заявителя на действия единой комиссии Заказчика ГБУЗ РА «Шовгеновская ЦРБ» при проведении закупки в соответствии с частью 12 статьи 93 Закона о контрактной системе №0376300012824000023 на поставку регистратора амбулаторный для электрокардиографического мониторинга (далее - Закупка), проведя внеплановую проверку на основании пункта 1 части 15 статьи 99 Федерального закона от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position w:val="0"/>
          <w:shd w:val="clear" w:color="auto" w:fill="auto"/>
          <w:lang w:val="ru-RU" w:eastAsia="ru-RU" w:bidi="ru-RU"/>
        </w:rPr>
        <w:t>11111111111Н111И1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05.04.2013 № 44-ФЗ «О контрактной системе в сфере закупок товаров, работ, услуг для государственных и муниципальных нужд» (далее - Закон о контрактной системе)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Республике Адыгея (далее - Адыгейское УФАС России) 23.10.2024 поступила жалоба, в которой Заявитель считает отклонение неправомерным, поскольку предложило к поставке, без возможности измерения артериального давления.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заявки представлен прибор Комплекс суточного мониторирования ЭКГ и АД «Медиком-комби» по ТУ 9442-001-86580521-2014, с регистратором ИН- 33М, который является медицинским изделием для суточного мониторирования ЭКГ.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заявка ООО «ЛТК» не содержала недостоверной информации, предложенное к поставке медицинское изделие полностью соответствует требованиям извещения.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Заявитель просит признать жалобу обоснованной, провести внеплановую проверку.</w:t>
      </w:r>
      <w:bookmarkEnd w:id="2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в ходе рассмотрения довода жалобы пояснил, что Комиссия по осуществлению закупок заказчика рассматривала заявки на участие в закупке, информацию и документы, направленные оператором электронной площадки в соответствии с требованиями Закона о контрактной системе.</w:t>
      </w:r>
      <w:bookmarkEnd w:id="4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пояснил, что в соответствии с извещением о проведении закупки требуется к поставке Регистратор амбулаторный для электрокардиографического мониторинга, предназначенный только для электрокардиографического мониторинга, без измерения артериального давления.</w:t>
      </w:r>
      <w:bookmarkEnd w:id="6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Меду тем, участник закупки №1181103 (ООО «Люблинская Торговая Компания»), в составе своей заявки предложил к поставке Комплекс суточного мониторирования ЭКГ и АД «Медиком-комби» по ТУ 9442-001-86580521-2014,с регистратором ИН-33М, при этом в файле сформированном с помощью функционала ЕИС, в структурированной форме указал: «Регистратор амбулаторный для электрокардиографического мониторинга».</w:t>
      </w:r>
      <w:bookmarkEnd w:id="8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отклонена комиссией Заказчика, в связи с тем, в наименовании товара, предлагаемом в составе заявки установлены разночтения.</w:t>
      </w:r>
      <w:bookmarkEnd w:id="1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проведения внеплановой проверки Комиссия УФАС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Заказчиком на официальном сайте единой информационной системы в сфере закупок /а1&lt;ир1&lt;1.до\'.П1 (далее - ЕИС)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размещено извещение о проведении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- 445 200,00 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по существу контракт не заключен.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УФАС рассмотрев жалобу Заявителя, а также документы, представленные и приобщенные к материалам дела по рассмотрению жалобы,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12 статьи 93 Закона о контрактной системе заказчик формирует с использованием единой информационной системы, подписывает усиленной электронной подписью и размещает в единой информационной системе извещение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части 12 статьи 93 Закона о контрактной системе установлено, что в течение одного часа с момента размещения в единой информационной системе извещения об осуществлении закупки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 электронной площадки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учетом положений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 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части с использованием электронной площадки: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определяет из числа всех предварительных предложений, размещенных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части, не более пяти заявок на участие в закупке (предварительных предложений), соответствующих требованиям, установленным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подпунктами "в"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"е" пункта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части, и содержащих наименьшие цены за единицу товара, являющегося объектом закупки. При этом при определении таких заявок не учитываются заявки участников закупки, у которых отсутствует не заблокированное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"г"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пункта количество товара в размере количества закупаемого товара, предусмотренного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"в" пункта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части;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присваивает каждой заявке на участие в закупке, предусмотренной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"а"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пункта, идентификационный номер, порядковый номер в порядке возрастания цены за единицу товара, предусмотренной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"е" пункта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части. Первый порядковый номер присваивается заявке на участие в закупке, содержащей наименьшую цену за единицу товара. В случае, если несколько заявок на участие в закупке содержат одинаковую цену за единицу товара, меньший порядковый номер присваивается заявке на участие в закупке, поданной участником закупки, разместившим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части предварительное предложение в отношении такого товара ранее других участников закупки. В случае, если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"а"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пункта определена одна заявка на участие в закупке, такой заявке присваивается первый порядковый номер;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направляет заказчику заявки на участие в закупке (с указанием присвоенных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"б"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пункта порядковых номеров), предусмотренные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"а"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пункта и содержащие информацию и документы, предусмотренные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подпунктами "а"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"е"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"к" пункта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части,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2 части 6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случае указания участником закупки в предварительном предложении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"ж" пункта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части максимального количества товара блокирует количество товара, указанное в соответствии с таким подпунктом в предварительном предложении каждого участника закупки, заявка которого направлена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"в"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пункта, в размере предусмотренного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"в" пункта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части количества закупаемого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подпункту а пункта 6 части 12 статьи 93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не позднее одного рабочего дня со дня, следующего за днем получения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"в" пункта 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части, заказчик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принимает в отношении каждой заявки решение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соответствии заявки на участие в закупке требованиям, установленным в извещении об осуществлении закупки, или решение об отклонении заявки на участие в закупке в случае 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"в" пункта 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части, несоответствия таких информации и документов требованиям, установленным в извещении об осуществлении закупки, либо в случаях,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6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8 части 12 статьи 48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№0376300012824000023 от 23.10.2024 в результате рассмотрения заявок на участие в закупке товара у единственного поставщика на предмет соответствия требованиям, установленным в извещении об осуществлении закупки, были приняты следующие решения: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Участнику закупки под номером 11811031: «Отклонить заявку на участие в закупке по п.8 ч.12 ст.48 №44-ФЗ «Выявление недостоверной информации, содержащейся в заявке на участие в закупке» Участник предлагает к поставке Комплекс суточного мониторирования ЭКГ и АД"Медиком-комби" по ТУ 9442-001- 86580521-2014,с регистратором ИН-33М без возможности поставки с компьютером, принтером, сетевым фильтром, источником бесперебойного питания, который предназначен для суточного мониторирования АД, а в КТРУ указан без измерения артериального давления и такой комплекс у Заказчика уже имеется.К поставке необходим только Комплекс суточного мониторирования ЭКГ».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Участника закупки под номером 1181105: «Признать заявку соответствующей извещению об осуществлении закупки».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УФАС рассмотрев доводы сторон, а также сведения полученные по заявкам участников закупки через ГИС «Независимый регистратор» установила, что заявка с идентификационным номером 11811031 содержит к поставке товар с наименованием «Комплекс суточного мониторирования ЭКГ и АД «Медиком- комби» по ТУ 9442-001-86580521-2014,с регистратором ИН-33М, который является медицинским изделием для суточного мониторирования ЭКГ.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эксплуатационной документации, в том числе и в соответствии с инструкцией товара в варианте исполнения регистратора ИН-33М отсутствует измерение артериального давления.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изложенного, Комиссия признает жалобу заявителя обоснованной, а в действиях комиссии Заказчика нарушение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подпункта а пункта 6 части 12 статьи 93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тем, что решение Комиссия Заказчика повлияло на итоги закупки, следует выдать предписание об устранении допущенного нарушения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статьями 99, 106 Федерального закона от 05.04.2013 №44-ФЗ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 контрактной системе в сфере закупок товаров, работ, услуг для государственных и муниципальных нужд», Комиссия УФАС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«Люблинская Торговая Компания»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в действиях Комиссии Заказчика нарушение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подпункта а пункта 6 части 12 статьи 93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Заявителю, Комиссии Заказчика, Оператору электронной торговой площадки АО «ЕЭТП» предписание об устранении нарушений законодательства о контрактной системе в сфере закупок.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1" w:val="left"/>
        </w:tabs>
        <w:bidi w:val="0"/>
        <w:spacing w:before="0" w:after="28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должностному лицу Адыгейского УФАС России материалы дела №001/06/93-598/2024 для рассмотрения вопроса о возбуждении дела об административном правонарушении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7" w:right="535" w:bottom="970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19075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304800</wp:posOffset>
                </wp:positionV>
                <wp:extent cx="182880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050000000000004pt;margin-top:24.pt;width:144.pt;height:19.699999999999999pt;z-index:-125829374;mso-wrap-distance-left:0;mso-wrap-distance-top:24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8935" distB="0" distL="0" distR="1789430" simplePos="0" relativeHeight="125829381" behindDoc="0" locked="0" layoutInCell="1" allowOverlap="1">
            <wp:simplePos x="0" y="0"/>
            <wp:positionH relativeFrom="page">
              <wp:posOffset>3312795</wp:posOffset>
            </wp:positionH>
            <wp:positionV relativeFrom="paragraph">
              <wp:posOffset>368935</wp:posOffset>
            </wp:positionV>
            <wp:extent cx="365760" cy="40830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3742690</wp:posOffset>
                </wp:positionH>
                <wp:positionV relativeFrom="paragraph">
                  <wp:posOffset>466725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94.69999999999999pt;margin-top:36.75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219075" distL="0" distR="0" simplePos="0" relativeHeight="125829382" behindDoc="0" locked="0" layoutInCell="1" allowOverlap="1">
                <wp:simplePos x="0" y="0"/>
                <wp:positionH relativeFrom="page">
                  <wp:posOffset>5748020</wp:posOffset>
                </wp:positionH>
                <wp:positionV relativeFrom="paragraph">
                  <wp:posOffset>304800</wp:posOffset>
                </wp:positionV>
                <wp:extent cx="865505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55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А.Г. Жуков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52.60000000000002pt;margin-top:24.pt;width:68.150000000000006pt;height:19.699999999999999pt;z-index:-125829371;mso-wrap-distance-left:0;mso-wrap-distance-top:24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А.Г. Жуков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86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5757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B5B5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ЖУКОВ АЗАМАТ ГАСАНОВИЧ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722СА93Е6Е448ЕСОЕЕ87Е4В0О2ЕЭ6380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6" w:bottom="478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870" distL="0" distR="0" simplePos="0" relativeHeight="125829384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88900</wp:posOffset>
                </wp:positionV>
                <wp:extent cx="134112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8.050000000000004pt;margin-top:7.pt;width:105.60000000000001pt;height:19.900000000000002pt;z-index:-125829369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5730" distB="0" distL="0" distR="1789430" simplePos="0" relativeHeight="125829386" behindDoc="0" locked="0" layoutInCell="1" allowOverlap="1">
            <wp:simplePos x="0" y="0"/>
            <wp:positionH relativeFrom="page">
              <wp:posOffset>3291205</wp:posOffset>
            </wp:positionH>
            <wp:positionV relativeFrom="paragraph">
              <wp:posOffset>125730</wp:posOffset>
            </wp:positionV>
            <wp:extent cx="389890" cy="57277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3787775</wp:posOffset>
                </wp:positionH>
                <wp:positionV relativeFrom="paragraph">
                  <wp:posOffset>564515</wp:posOffset>
                </wp:positionV>
                <wp:extent cx="128016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98.25pt;margin-top:44.450000000000003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3742055</wp:posOffset>
                </wp:positionH>
                <wp:positionV relativeFrom="paragraph">
                  <wp:posOffset>254000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94.65000000000003pt;margin-top:20.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870" distL="0" distR="0" simplePos="0" relativeHeight="125829387" behindDoc="0" locked="0" layoutInCell="1" allowOverlap="1">
                <wp:simplePos x="0" y="0"/>
                <wp:positionH relativeFrom="page">
                  <wp:posOffset>5754370</wp:posOffset>
                </wp:positionH>
                <wp:positionV relativeFrom="paragraph">
                  <wp:posOffset>88900</wp:posOffset>
                </wp:positionV>
                <wp:extent cx="1173480" cy="2527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С.М. Керашева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53.10000000000002pt;margin-top:7.pt;width:92.400000000000006pt;height:19.900000000000002pt;z-index:-125829366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С.М. Керашева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3291205</wp:posOffset>
            </wp:positionH>
            <wp:positionV relativeFrom="paragraph">
              <wp:posOffset>499745</wp:posOffset>
            </wp:positionV>
            <wp:extent cx="389890" cy="57277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3787775</wp:posOffset>
                </wp:positionH>
                <wp:positionV relativeFrom="paragraph">
                  <wp:posOffset>935355</wp:posOffset>
                </wp:positionV>
                <wp:extent cx="1280160" cy="1035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98.25pt;margin-top:73.650000000000006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3742055</wp:posOffset>
                </wp:positionH>
                <wp:positionV relativeFrom="paragraph">
                  <wp:posOffset>624840</wp:posOffset>
                </wp:positionV>
                <wp:extent cx="1725295" cy="255905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94.65000000000003pt;margin-top:49.200000000000003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5B5B5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Керашева Сусана Муратовна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00А630СА9СС9Е0В6В9А14А989В57ЕЕ101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>.1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0.2023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Клюкина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КЛЮКИНА НАТАЛЬЯ АЛЕКСАНДРОВНА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06А19586Е106В731АА60ЕЕЕС52Е7616С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40" w:line="266" w:lineRule="auto"/>
        <w:ind w:right="0" w:firstLine="0"/>
        <w:jc w:val="left"/>
      </w:pP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20.03.2024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>по 13.06.2025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9947910</wp:posOffset>
              </wp:positionV>
              <wp:extent cx="6489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950000000000003pt;margin-top:783.30000000000007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pt;margin-top:776.2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689610</wp:posOffset>
              </wp:positionV>
              <wp:extent cx="6731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8.94999999999999pt;margin-top:54.30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B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9"/>
      <w:szCs w:val="19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/>
      <w:strike w:val="0"/>
      <w:color w:val="46619B"/>
      <w:sz w:val="13"/>
      <w:szCs w:val="13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1">
    <w:name w:val="Основной текст (6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w w:val="60"/>
      <w:sz w:val="42"/>
      <w:szCs w:val="42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B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9"/>
      <w:szCs w:val="19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line="269" w:lineRule="auto"/>
      <w:jc w:val="center"/>
    </w:pPr>
    <w:rPr>
      <w:rFonts w:ascii="Arial" w:eastAsia="Arial" w:hAnsi="Arial" w:cs="Arial"/>
      <w:b w:val="0"/>
      <w:bCs w:val="0"/>
      <w:i w:val="0"/>
      <w:iCs w:val="0"/>
      <w:smallCaps/>
      <w:strike w:val="0"/>
      <w:color w:val="46619B"/>
      <w:sz w:val="13"/>
      <w:szCs w:val="13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auto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w w:val="60"/>
      <w:sz w:val="42"/>
      <w:szCs w:val="42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ind w:firstLine="6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4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