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drawing>
          <wp:anchor distT="128270" distB="1026795" distL="114300" distR="2656205" simplePos="0" relativeHeight="125829378" behindDoc="0" locked="0" layoutInCell="1" allowOverlap="1">
            <wp:simplePos x="0" y="0"/>
            <wp:positionH relativeFrom="page">
              <wp:posOffset>3575685</wp:posOffset>
            </wp:positionH>
            <wp:positionV relativeFrom="paragraph">
              <wp:posOffset>140970</wp:posOffset>
            </wp:positionV>
            <wp:extent cx="572770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4275" distR="114300" simplePos="0" relativeHeight="125829379" behindDoc="0" locked="0" layoutInCell="1" allowOverlap="1">
                <wp:simplePos x="0" y="0"/>
                <wp:positionH relativeFrom="page">
                  <wp:posOffset>4645660</wp:posOffset>
                </wp:positionH>
                <wp:positionV relativeFrom="paragraph">
                  <wp:posOffset>12700</wp:posOffset>
                </wp:positionV>
                <wp:extent cx="2042160" cy="181038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1810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ур„ 55 йорт, Казан шэЬэрс, 420021</w:t>
                              <w:br/>
                              <w:t>тел.: (843) 236-89-22, факс (843) 238-19-46</w:t>
                              <w:br/>
                              <w:t>е-таП: 1о16@(а8.§оу.ги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5.80000000000001pt;margin-top:1.pt;width:160.80000000000001pt;height:142.55000000000001pt;z-index:-125829374;mso-wrap-distance-left:93.2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88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ур„ 55 йорт, Казан шэЬэрс, 420021</w:t>
                        <w:br/>
                        <w:t>тел.: (843) 236-89-22, факс (843) 238-19-46</w:t>
                        <w:br/>
                        <w:t>е-таП: 1о16@(а8.§оу.ги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</w:r>
      <w:r>
        <w:rPr>
          <w:color w:val="506A9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службы</w:t>
        <w:br/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е-таИ: Ю16@Га8.{;оу.П1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УД.НММ</w:t>
      </w: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 </w:t>
      </w:r>
      <w:r>
        <w:rPr>
          <w:color w:val="506A94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b w:val="0"/>
          <w:bCs w:val="0"/>
          <w:color w:val="506A9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№от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Межрегиональному филиалу ФКУ «ЦОКР» в г. Казани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нД&lt;11 сокг@го5кагпа.ги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Чащину С.А.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526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1соо11985@та11.ги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016/06/33-1487/2024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086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 октября 2024 года</w:t>
        <w:tab/>
        <w:t>г. Казань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05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 А.А. - заместителя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052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Акперовой Л.А. - главного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 Никитиной И.Г. - специалиста 1 разряда,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Межрегионального филиала ФКУ «ЦОКР» в г. Казани - Насыбуллина Р.Н. (по доверенности), Курбанова Т.П. (по доверенности), Гайфуллиной Д.Р. (по доверенности), Мустафиной Э.Р. (по доверенности), в отсутствие представителя заявителя ИП Чащина С.А., о месте и времени рассмотрения жалобы извещенного надлежащим образом, рассмотрев посредством видеоконференции жалобу заявителя ИП Чащина С. А. (вх. №11398/ж от 23.10.2024г.) на действия заказчика - Межрегионального филиала ФКУ «ЦОКР» в 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Казани при проведении закупки №0811400000124000410 на предмет: «Поставка оборудования промышленного холодильного и вентиляционного (кондиционеров бытовых)»,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запроса котировок в электронной форме №0811400000124000410 на предмет: «Поставка оборудования промышленного холодильного и вентиляционного (кондиционеров бытовых)»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лууулу.гакирктцоу.ги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17.10.2024г.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- 221 940,00 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доводами, изложенными в жалобе, не согласился, представил устные и письменные пояснения.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заявителя, позиции заказчика и изучения документации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об установлении дополнительных характеристик без надлежащего обоснования их указания.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18" w:right="626" w:bottom="1001" w:left="96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1 статьи 33 Закона о контрактной системе предусмотрено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Постановления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утверждены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правила использования указанного каталога определены постановлением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Каталог используется заказчиками в целях: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б) описания объектов закупки, которое включается в извещение об осуществлении закупки, приглашение и документацию о закупке (пп. "б" п. 2 Правил, утвержденных постановлением Правительства РФ № 145).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5 правил использования каталога товаров, работ, услуг для обеспечения государственных и муниципальных нужд Постановления Правительства РФ от 08.02.2017 № 145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пункту 6 правил использования каталога товаров, работ, услуг для обеспечения государственных и муниципальных нужд Постановления Правительства РФ от 08.02.2017 № 145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обоснование необходимости использования такой информации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(при наличии описания товара, работы, услуги в позиции каталога).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поставка оборудования промышленного холодильного и вентиляционного (кондиционеров бытовых).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Спецификацией Заказчиком были установлены следующие характеристики поставляемого товара согласно позиции КТРУ 28.25.12.130-00000010 - Кондиционер бытовой: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Вид кондиционера: Сплит-система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функции: Устройство зимнего пуска кондиционера Режим осушения Режим вентиляции (без охлаждения и обогрева) Инверторный тип кондиционера: Нет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энергоэффективности (в режиме охлаждения): не ниже 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Мощность в режиме нагрева: &gt; 2,5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Мощность в режиме охлаждения: &gt; 2,5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Режимы работы кондиционера: Обогрев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Охлаждение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 внутреннего блока: Настенный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Спецификации также установлены дополнительные характеристики для закупаемого товара, не включенные в позицию КТРУ,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Хладагент: К410А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Максимальный уровень шума внутреннего блока: &lt;27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Эффективен для помещений площадью: &gt;25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Параметры электросети: 220-240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Самоочистка внутреннего блока: 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Автоматическая разморозка: 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Функция «Теплый старт»: 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Функция интенсивного охлаждения: 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самодиагностики неисправности: 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Фильтры очистки воздуха: Антибактериальный фильтр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Цифровой дисплей: 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системой: с пультом дистанционного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Спецификация содержит раздел «Обоснование необходимости использования дополнительных потребительских свойств», в котором содержится, в частности: «Отсутствие в КТРУ функциональных, технических и качественных характеристик, позволяющих Заказчику приобрести необходимый товар».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доводам жалобы заявителя, заказчиком не предоставлено надлежащего обоснования применения дополнительных параметров и обоснования чисел этих параметров.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уточняет, что установлением необоснованного требования к показателю «Максимальный уровень шума внутреннего блока: &lt;27» заказчик также ограничивает конкуренцию.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Заказчика, при составлении технического задания Заказчиком был проведен анализ существующего рынка кондиционеров, в результате которого выявлены соответствующие потребностям Заказчика кондиционеры и содержащие указанные выше характеристики. При формировании требований к техническим и функциональным характеристикам оборудования заказчик учитывает необходимость конечного результата - обеспечение учреждения необходимым оборудованием.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представленным пояснениям Заказчика, показатель «Максимальный уровень шума внутреннего блока: &lt;27» не является ограничением для участников закупки, в настоящее время на российском рынке представлен огромный выбор кондиционеров (сплит- систем), имеющих показатели по шуму внутреннего блока &lt; 27 Дб (Децибел), например, Сплит система Бирюса В-09ЕРК/В- 09ЕРр, СЕЫТЕК СТ-65Е09, Е1ес1го1пх ЕАС8-09Н8МЖЗ.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отметил Заказчик, закон о контрактной системе не содержит каких-либо ограничений в конкретизации предмета закупки, и Заказчик вправе определять свою потребность в тех или иных товарах, работах и услугах и устанавливать требования к ним.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подтверждение вышеуказанной позиции Заказчиком была приведена судебная практика по делу №А81-9017/2022, согласно которой суд пришел к выводу об отсутствии нарушений в действиях заказчика, исходя из того, что предмет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сформулирован в соответствии с требованиями законодательства о контрактной системе, а указание в документации особых характеристик товара, которые отвечают его потребностям и необходимы заказчику с учетом специфики использования товара, не может рассматриваться как ограничение круга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приведенной судебной практике по делу №А81-9017/2022, Заказчиком было дано следующее обоснование дополнительных характеристик: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Пульт ДУ (для оперативной регулировки и управ кондиционера, без дополнительных затрат на оборудования);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Габариты внешнего блока (ШхВхГ) (установка изделия на заранее подготовленное место);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Цвет декоративной панели (основной цвет поверхности в месте установки изделия);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Эффективен для помещения площадью (максимальная площадь помещения в месте установки изделия);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самодиагностики неисправности (позволяет системе провести диагностические процедуры и выявить неполадки н работе отдельных модулей и блоков сплит-системы);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Потребляемая мощность при обогреве (количество энергии необходимое для обогрева);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Потребляемая мощность при обогреве (количество энергии необходимое для обогрева)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Уровень шума наружного блока (максимально допустимый уровень шума, для исполнения работниками трудовых обязанностей).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отмечает, что вышеуказанное обоснование дает понимание того, для чего Заказчику требуется каждая из приведенных характеристик, вследствие чего нарушений в части надлежащего обоснования дополнительных характеристик, в действиях Заказчика судом выявлено не было.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письмом 24-03-07/6890 от 02.02.2022 г. Департамент бюджетной политики в сфере контрактной системы Минфина России указал, что в случае реализации права, предусмотренного п. 5 Правил использования каталога, в обоснование, установленное п. 6 указанных правил, целесообразно включить: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обстоятельство, влекущее невозможность осуществления закупки без дополнительной информации, дополнительных потребительских свойств;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причинно-следственную связь между такими дополнительной информацией (каждым видом), потребительскими свойствами (каждым свойством) и соответствующей потребностью заказчика, подлежащей удовлетворению в связи с такими дополнительными информацией, свойствами.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в ходе анализа Комиссией установлено, что обоснование использования указанных Межрегиональным филиалом ФКУ «ЦОКР» в г. Казани дополнительных характеристик при формировании описания объекта закупки, отражает исключительно факт недостаточности для заказчика установленной в КТРУ характеристики, но не обосновывает потребность заказчика в приобретении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товара именно с данными (дополнительными) характеристиками, что является нарушением требований пункта 6 Правил. Дополнительные характеристики установлены без надлежащего обоснования согласно п. 6 Правил использования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рассматриваемом случае, для надлежащего обоснования требуемых дополнительных характеристик Заказчику следовало аргументировать использование таких характеристик так, как было озвучено им на заседании Комиссии, например, «Хладагент: К410А (не токсичен, не наносит вред здоровью, пожаробезопасен, для обеспечения единообразия при тех. обслуживании); Максимальный уровень шума внутреннего блока: &lt;27 (обеспечение комфортного исполнения служебных обязанностей); Функция «Теплый старт»: да (в целях недопущения холодного воздуха в служебном помещении; Фильтры очистки воздуха: Антибактериальный фильтр (для предотвращения размножения бактерий).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при формировании и размещении сведений об описании объекта закупки были нарушены требования пункта 2 части 1 статьи 33, пункта 1 части 2 статьи 42 Закона о контрактной системе, пункта 6 Постановления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в части установления ненадлежащего обоснования использования дополнительных характеристик закупаемого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заявителя признан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учитывая, что выявленное нарушение не повлияло на результаты определения поставщика, на участие в закупке было подано 5 заявок, 4 из которых были признаны соответствующими требованиям, Комиссия принимает решение предписание об устранении нарушений требований действующего законодательства не выдавать.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И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ИП Чащина С.А. (вх. №11398/ж от 23.10.2024г.) на действия заказчика - Межрегионального филиала ФКУ «ЦОКР» в г. Казани при проведении закупки №0811400000124000410 на предмет: «Поставка оборудования промышленного холодильного и вентиляционного (кондиционеров бытовых)»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- Межрегионального филиала ФКУ «ЦОКР» в г. Казани нарушение требований пункта 2 части 1 статьи 33, пункта 1 части 2 статьи 42 44-ФЗ «О контрактной системе в сфере закупок товаров, работ, услуг для обеспечения государственных и муниципальных нужд», пункта 6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Постановления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нарушений действующего законодательства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9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866" w:val="left"/>
        </w:tabs>
        <w:bidi w:val="0"/>
        <w:spacing w:before="0" w:after="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обжаловано^ судебном порядке в течение трех месяцев со дня его принятия.</w:t>
        <w:tab/>
      </w:r>
      <w:r>
        <w:rPr>
          <w:color w:val="3A2B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// </w:t>
      </w:r>
      <w:r>
        <w:rPr>
          <w:color w:val="506A94"/>
          <w:spacing w:val="0"/>
          <w:w w:val="100"/>
          <w:position w:val="0"/>
          <w:shd w:val="clear" w:color="auto" w:fill="auto"/>
          <w:lang w:val="ru-RU" w:eastAsia="ru-RU" w:bidi="ru-RU"/>
        </w:rPr>
        <w:t>\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8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И.Г. Никитина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3235325</wp:posOffset>
            </wp:positionH>
            <wp:positionV relativeFrom="margin">
              <wp:posOffset>3112135</wp:posOffset>
            </wp:positionV>
            <wp:extent cx="3072130" cy="27552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072130" cy="27552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Исп.: Никитина И.Г., Тел. 8(843)293-10-91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type w:val="continuous"/>
      <w:pgSz w:w="11900" w:h="16840"/>
      <w:pgMar w:top="1118" w:right="626" w:bottom="1001" w:left="968" w:header="0" w:footer="57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763905</wp:posOffset>
              </wp:positionH>
              <wp:positionV relativeFrom="page">
                <wp:posOffset>10238105</wp:posOffset>
              </wp:positionV>
              <wp:extent cx="56705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239333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0.149999999999999pt;margin-top:806.14999999999998pt;width:44.64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239333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3867150</wp:posOffset>
              </wp:positionH>
              <wp:positionV relativeFrom="page">
                <wp:posOffset>539750</wp:posOffset>
              </wp:positionV>
              <wp:extent cx="6413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4.5pt;margin-top:42.5pt;width:5.0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3853180</wp:posOffset>
              </wp:positionH>
              <wp:positionV relativeFrom="page">
                <wp:posOffset>536575</wp:posOffset>
              </wp:positionV>
              <wp:extent cx="54610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3.40000000000003pt;margin-top:42.25pt;width:4.2999999999999998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D92CA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6A94"/>
      <w:sz w:val="15"/>
      <w:szCs w:val="15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 w:val="0"/>
      <w:bCs w:val="0"/>
      <w:i/>
      <w:iCs/>
      <w:smallCaps w:val="0"/>
      <w:strike w:val="0"/>
      <w:color w:val="3A2B80"/>
      <w:sz w:val="28"/>
      <w:szCs w:val="28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D92CA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30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6A94"/>
      <w:sz w:val="15"/>
      <w:szCs w:val="15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300"/>
      <w:ind w:firstLine="200"/>
    </w:pPr>
    <w:rPr>
      <w:rFonts w:ascii="Arial" w:eastAsia="Arial" w:hAnsi="Arial" w:cs="Arial"/>
      <w:b w:val="0"/>
      <w:bCs w:val="0"/>
      <w:i/>
      <w:iCs/>
      <w:smallCaps w:val="0"/>
      <w:strike w:val="0"/>
      <w:color w:val="3A2B80"/>
      <w:sz w:val="28"/>
      <w:szCs w:val="28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