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60" w:right="0" w:firstLine="0"/>
        <w:jc w:val="left"/>
      </w:pPr>
      <w:r>
        <w:drawing>
          <wp:anchor distT="130810" distB="1024255" distL="114300" distR="2650490" simplePos="0" relativeHeight="125829378" behindDoc="0" locked="0" layoutInCell="1" allowOverlap="1">
            <wp:simplePos x="0" y="0"/>
            <wp:positionH relativeFrom="page">
              <wp:posOffset>3552825</wp:posOffset>
            </wp:positionH>
            <wp:positionV relativeFrom="paragraph">
              <wp:posOffset>143510</wp:posOffset>
            </wp:positionV>
            <wp:extent cx="579120" cy="65214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89990" distR="114935" simplePos="0" relativeHeight="125829379" behindDoc="0" locked="0" layoutInCell="1" allowOverlap="1">
                <wp:simplePos x="0" y="0"/>
                <wp:positionH relativeFrom="page">
                  <wp:posOffset>4628515</wp:posOffset>
                </wp:positionH>
                <wp:positionV relativeFrom="paragraph">
                  <wp:posOffset>12700</wp:posOffset>
                </wp:positionV>
                <wp:extent cx="2038985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3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йорт. Казан шэЬэре, 420021</w:t>
                              <w:br/>
                              <w:t>тел.: (843) 236-89-22. факс (843) 238-19-46</w:t>
                              <w:br/>
                              <w:t>е-таП: ю16@Га8.§оу.ги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4.44999999999999pt;margin-top:1.pt;width:160.55000000000001pt;height:142.30000000000001pt;z-index:-125829374;mso-wrap-distance-left:93.700000000000003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3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йорт. Казан шэЬэре, 420021</w:t>
                        <w:br/>
                        <w:t>тел.: (843) 236-89-22. факс (843) 238-19-46</w:t>
                        <w:br/>
                        <w:t>е-таП: ю16@Га8.§оу.ги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</w:r>
      <w:r>
        <w:rPr>
          <w:color w:val="4D669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службы</w:t>
        <w:br/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55, г. Казань. 420021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тел.: (843) 236-89-22,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2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Ю16@Га8.§оу.ги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leader="underscore" w:pos="1951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Fonts w:ascii="Courier New" w:eastAsia="Courier New" w:hAnsi="Courier New" w:cs="Courier New"/>
          <w:spacing w:val="0"/>
          <w:w w:val="100"/>
          <w:position w:val="0"/>
          <w:shd w:val="clear" w:color="auto" w:fill="auto"/>
          <w:lang w:val="ru-RU" w:eastAsia="ru-RU" w:bidi="ru-RU"/>
        </w:rPr>
        <w:t>О-Х4Ц</w:t>
      </w:r>
      <w:r>
        <w:rPr>
          <w:rFonts w:ascii="Courier New" w:eastAsia="Courier New" w:hAnsi="Courier New" w:cs="Courier New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>№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</w:t>
      </w:r>
      <w:r>
        <w:rPr>
          <w:b w:val="0"/>
          <w:bCs w:val="0"/>
          <w:color w:val="4D6695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</w:t>
      </w:r>
      <w:r>
        <w:rPr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Межрегиональному филиалу ФКУ «ЦОКР» в г. Казани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п!к1 1 сокг@го8ка2па.ш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Чащину С.А.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820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1соо11985@таП.ги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016/06/42-1488/2024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9067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 октября 2024 года</w:t>
        <w:tab/>
        <w:t>г. Казань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002"/>
        <w:gridCol w:w="5251"/>
      </w:tblGrid>
      <w:tr>
        <w:trPr>
          <w:trHeight w:val="64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Яфизова А.А. - заместителя руководителя,</w:t>
            </w:r>
          </w:p>
        </w:tc>
      </w:tr>
      <w:tr>
        <w:trPr>
          <w:trHeight w:val="96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Никитиной И.Г. - специалиста 1 разряда, Акперовой Л.А. - главного</w:t>
            </w:r>
          </w:p>
        </w:tc>
      </w:tr>
    </w:tbl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Межрегионального филиала ФКУ «ЦОКР» в г. Казани - Насыбуллина Р.Н. (по доверенности), Курбанова Т.И. (по доверенности), Гайфуллиной Д.Р. (по доверенности), Мустафиной Э.Р. (по доверенности), в отсутствие представителя заявителя ИП Чащина С.А., о месте и времени рассмотрения жалобы извещенного надлежащим образом, рассмотрев посредством видеоконференции жалобу заявителя ИП Чащина С.А. (вх. №11401/ж от 24.10.2024г.) на действия заказчика - Межрегионального филиала ФКУ «ЦОКР» в 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зани при проведении закупки №0811400000124000414 на предмет: «Поставка кондиционеров бытовых»,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запроса котировок в электронной форме №0811400000124000414 на предмет: «Поставка кондиционеров бытовых» размещено на официальном сайте Российской Федерации для размещения информации о размещении заказов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\у\ууу.2акирк1щоу.ш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17.10.2024г.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- 742 000,00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закупка проводится с нарушениями норм действующего законодательства.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доводами, изложенными в жалобе, не согласился, представил устные и письменные пояснения.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заказчика, позиции заказчика и изучения документации электронного аукциона приходит к следующим выводам.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наличии противоречий в документации в части поставки и установки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3 статьи 7 Закона о контрактной системе установлено,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части 2 статьи 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2.3 Проекта контракта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4.3 Проекта контракта заказчик обязуется: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>
      <w:pPr>
        <w:pStyle w:val="Style6"/>
        <w:keepNext w:val="0"/>
        <w:keepLines w:val="0"/>
        <w:widowControl w:val="0"/>
        <w:numPr>
          <w:ilvl w:val="3"/>
          <w:numId w:val="1"/>
        </w:numPr>
        <w:shd w:val="clear" w:color="auto" w:fill="auto"/>
        <w:tabs>
          <w:tab w:pos="182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закона) и (или) поставляемому товару.</w:t>
      </w:r>
    </w:p>
    <w:p>
      <w:pPr>
        <w:pStyle w:val="Style6"/>
        <w:keepNext w:val="0"/>
        <w:keepLines w:val="0"/>
        <w:widowControl w:val="0"/>
        <w:numPr>
          <w:ilvl w:val="3"/>
          <w:numId w:val="1"/>
        </w:numPr>
        <w:shd w:val="clear" w:color="auto" w:fill="auto"/>
        <w:tabs>
          <w:tab w:pos="181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принять решение об одностороннем отказе от исполнения Контракта в случае, если в ходе исполнения контракта установлено, что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4.3.2.1, что позволило ему стать победителем определения поставщика.</w:t>
      </w:r>
    </w:p>
    <w:p>
      <w:pPr>
        <w:pStyle w:val="Style6"/>
        <w:keepNext w:val="0"/>
        <w:keepLines w:val="0"/>
        <w:widowControl w:val="0"/>
        <w:numPr>
          <w:ilvl w:val="2"/>
          <w:numId w:val="3"/>
        </w:numPr>
        <w:shd w:val="clear" w:color="auto" w:fill="auto"/>
        <w:tabs>
          <w:tab w:pos="14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принятия решения об одностороннем отказе от исполнения Контракта, такое решение направляется Заказчику в порядке, указанном в статье 95 Федерального закона.</w:t>
      </w:r>
    </w:p>
    <w:p>
      <w:pPr>
        <w:pStyle w:val="Style6"/>
        <w:keepNext w:val="0"/>
        <w:keepLines w:val="0"/>
        <w:widowControl w:val="0"/>
        <w:numPr>
          <w:ilvl w:val="2"/>
          <w:numId w:val="3"/>
        </w:numPr>
        <w:shd w:val="clear" w:color="auto" w:fill="auto"/>
        <w:tabs>
          <w:tab w:pos="14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требовать уплаты неустоек (штрафов, пеней) в соответствии с разделом VI Контракта;</w:t>
      </w:r>
    </w:p>
    <w:p>
      <w:pPr>
        <w:pStyle w:val="Style6"/>
        <w:keepNext w:val="0"/>
        <w:keepLines w:val="0"/>
        <w:widowControl w:val="0"/>
        <w:numPr>
          <w:ilvl w:val="2"/>
          <w:numId w:val="3"/>
        </w:numPr>
        <w:shd w:val="clear" w:color="auto" w:fill="auto"/>
        <w:tabs>
          <w:tab w:pos="14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провести экспертизу поставленного Товара для проверки его соответствия условиям Контракта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«Поставка кондиционеров бытовых для обеспечения нужд Управления Федерального казначейства по Самарской области».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представленных заявителем сведений следует, что, судя по названию «Поставка кондиционеров...» и отсутствию прямого требования и описания монтажа/установки для расчета себестоимости можно предположить, что монтаж/установка контрактом не требуются, в документе «4. Проект государственного контракта» указано «4.3. Предоставление гарантий Поставщика и производителя товара осуществляется вместе с поставкой и установкой товара», что вводит в заблуждение. С одной стороны, указано «вместе с поставкой и установкой» что можно расценить как наличие требования, с другой стороны прямого требования монтажа и его описания нет.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представленным пояснениям Заказчика, требование о необходимости осуществления монтажа Поставщиком отсутствует во всех пунктах, касающихся объекта закупки. Следовательно, документацией предусмотрена только поставка оборудования (кондиционеров бытовых).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пояснил, что Заявитель также указывает, что в документации отсутствует прямое требование и описание монтажа/установки, а п. 4.3. Проекта контракта на который ссылается в жалобе Заявитель содержит формулировки, в которых требования к монтажу/установке отсутствуют.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Татарстанского УФАС России в ходе анализа сведений, размещенных в извещении, установлено, что Заказчику требуется поставить кондиционеры бытовые в количестве 17 штук.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как установлено проектом контракта, цена контракта включает в себя такие работы, как доставка, разгрузка-погрузка, размещение в местах хранения Заказчика. Иные работы документацией о закупке не предусмотрены, ввиду чего нельзя установить тот факт, что заказчику требуются работы по установке.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Татарстанского УФАС России не усматривает в действиях Заказчика признаков нарушения норм Закона № 44-ФЗ в части наличия противоречий при описании требуемых работ, установленных условиями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сведениям, размещенным на сайте единой информационной системы, на участие в закупке было подано 19 заявок, что говорит об отсутствии признаков ограничения конкуренции.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уточняет, что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Бремя доказывания при рассмотрении жалобы в контрольном органе в сфере закупок возлагается на лицо, подавшее жалобу на соответствующие действия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Заявитель жалобы на заседание Комиссии не явился, объективных доказательств обоснованности своих доводов не представил.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66" w:right="637" w:bottom="1398" w:left="94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довод заявителя признан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ИП Чащина С.А. (вх. №11401/ж от 24.10.2024г.) на действия заказчика - Межрегионального филиала ФКУ «ЦОКР» в г. Казани при проведении закупки №0811400000124000414 на предмет: «Поставка кондиционеров бытовых»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825500</wp:posOffset>
                </wp:positionV>
                <wp:extent cx="1898650" cy="22225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3.650000000000006pt;margin-top:65.pt;width:149.5pt;height:17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4003675</wp:posOffset>
            </wp:positionH>
            <wp:positionV relativeFrom="paragraph">
              <wp:posOffset>88900</wp:posOffset>
            </wp:positionV>
            <wp:extent cx="1109345" cy="2231390"/>
            <wp:wrapTight wrapText="left">
              <wp:wrapPolygon>
                <wp:start x="13448" y="0"/>
                <wp:lineTo x="16840" y="0"/>
                <wp:lineTo x="16840" y="2334"/>
                <wp:lineTo x="21600" y="2334"/>
                <wp:lineTo x="21600" y="21600"/>
                <wp:lineTo x="0" y="21600"/>
                <wp:lineTo x="0" y="2334"/>
                <wp:lineTo x="536" y="2334"/>
                <wp:lineTo x="536" y="1034"/>
                <wp:lineTo x="13448" y="1034"/>
                <wp:lineTo x="13448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109345" cy="22313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2151380" distL="114300" distR="114300" simplePos="0" relativeHeight="125829384" behindDoc="0" locked="0" layoutInCell="1" allowOverlap="1">
                <wp:simplePos x="0" y="0"/>
                <wp:positionH relativeFrom="page">
                  <wp:posOffset>4845050</wp:posOffset>
                </wp:positionH>
                <wp:positionV relativeFrom="paragraph">
                  <wp:posOffset>25400</wp:posOffset>
                </wp:positionV>
                <wp:extent cx="2294890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948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судебном порядке в течение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81.5pt;margin-top:2.pt;width:180.70000000000002pt;height:17.300000000000001pt;z-index:-125829369;mso-wrap-distance-left:9.pt;mso-wrap-distance-right:9.pt;mso-wrap-distance-bottom:169.4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судебном порядке в течение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1148715" distB="0" distL="400685" distR="330835" simplePos="0" relativeHeight="125829386" behindDoc="0" locked="0" layoutInCell="1" allowOverlap="1">
            <wp:simplePos x="0" y="0"/>
            <wp:positionH relativeFrom="page">
              <wp:posOffset>5131435</wp:posOffset>
            </wp:positionH>
            <wp:positionV relativeFrom="paragraph">
              <wp:posOffset>1174115</wp:posOffset>
            </wp:positionV>
            <wp:extent cx="1791970" cy="1225550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791970" cy="1225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829945</wp:posOffset>
                </wp:positionV>
                <wp:extent cx="1002665" cy="22225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266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6.19999999999999pt;margin-top:65.349999999999994pt;width:78.950000000000003pt;height:17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трех месяцев со дня его принятия.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300" w:after="63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both"/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Исп.: Никитина И.Г. Тел. (843) 293-10-91</w:t>
      </w:r>
    </w:p>
    <w:sectPr>
      <w:headerReference w:type="default" r:id="rId15"/>
      <w:footerReference w:type="default" r:id="rId16"/>
      <w:headerReference w:type="even" r:id="rId17"/>
      <w:footerReference w:type="even" r:id="rId18"/>
      <w:footnotePr>
        <w:pos w:val="pageBottom"/>
        <w:numFmt w:val="decimal"/>
        <w:numRestart w:val="continuous"/>
      </w:footnotePr>
      <w:pgSz w:w="11900" w:h="16840"/>
      <w:pgMar w:top="1166" w:right="637" w:bottom="1398" w:left="949" w:header="0" w:footer="97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791210</wp:posOffset>
              </wp:positionH>
              <wp:positionV relativeFrom="page">
                <wp:posOffset>10204450</wp:posOffset>
              </wp:positionV>
              <wp:extent cx="563880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300000000000004pt;margin-top:803.5pt;width:44.39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3842385</wp:posOffset>
              </wp:positionH>
              <wp:positionV relativeFrom="page">
                <wp:posOffset>457200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2.55000000000001pt;margin-top:36.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3845560</wp:posOffset>
              </wp:positionH>
              <wp:positionV relativeFrom="page">
                <wp:posOffset>423545</wp:posOffset>
              </wp:positionV>
              <wp:extent cx="6731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2.80000000000001pt;margin-top:33.350000000000001pt;width:5.2999999999999998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3845560</wp:posOffset>
              </wp:positionH>
              <wp:positionV relativeFrom="page">
                <wp:posOffset>423545</wp:posOffset>
              </wp:positionV>
              <wp:extent cx="6731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2.80000000000001pt;margin-top:33.350000000000001pt;width:5.2999999999999998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</w:lvl>
    <w:lvl w:ilvl="1">
      <w:start w:val="1"/>
      <w:numFmt w:val="decimal"/>
      <w:lvlText w:val="%1.%2."/>
    </w:lvl>
    <w:lvl w:ilvl="2">
      <w:start w:val="1"/>
      <w:numFmt w:val="decimal"/>
      <w:lvlText w:val="%1.%2.%3."/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4"/>
      <w:numFmt w:val="decimal"/>
      <w:lvlText w:val="%1."/>
    </w:lvl>
    <w:lvl w:ilvl="1">
      <w:start w:val="3"/>
      <w:numFmt w:val="decimal"/>
      <w:lvlText w:val="%1.%2."/>
    </w:lvl>
    <w:lvl w:ilvl="2">
      <w:start w:val="3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start w:val="1"/>
      <w:numFmt w:val="decimal"/>
      <w:lvlText w:val="%1.%2.%3.%4."/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F92CA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695"/>
      <w:sz w:val="15"/>
      <w:szCs w:val="15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1_"/>
    <w:basedOn w:val="DefaultParagraphFont"/>
    <w:link w:val="Style11"/>
    <w:rPr>
      <w:b w:val="0"/>
      <w:bCs w:val="0"/>
      <w:i w:val="0"/>
      <w:iCs w:val="0"/>
      <w:smallCaps w:val="0"/>
      <w:strike w:val="0"/>
      <w:color w:val="4D6695"/>
      <w:sz w:val="36"/>
      <w:szCs w:val="36"/>
      <w:u w:val="singl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F92CA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26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D6695"/>
      <w:sz w:val="15"/>
      <w:szCs w:val="15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260"/>
      <w:ind w:firstLine="180"/>
      <w:outlineLvl w:val="0"/>
    </w:pPr>
    <w:rPr>
      <w:b w:val="0"/>
      <w:bCs w:val="0"/>
      <w:i w:val="0"/>
      <w:iCs w:val="0"/>
      <w:smallCaps w:val="0"/>
      <w:strike w:val="0"/>
      <w:color w:val="4D6695"/>
      <w:sz w:val="36"/>
      <w:szCs w:val="36"/>
      <w:u w:val="singl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header" Target="header4.xml"/><Relationship Id="rId18" Type="http://schemas.openxmlformats.org/officeDocument/2006/relationships/footer" Target="footer4.xml"/></Relationships>
</file>