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3700780</wp:posOffset>
            </wp:positionH>
            <wp:positionV relativeFrom="paragraph">
              <wp:posOffset>12700</wp:posOffset>
            </wp:positionV>
            <wp:extent cx="560705" cy="66421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698500</wp:posOffset>
                </wp:positionH>
                <wp:positionV relativeFrom="paragraph">
                  <wp:posOffset>118745</wp:posOffset>
                </wp:positionV>
                <wp:extent cx="2636520" cy="2639695"/>
                <wp:wrapSquare wrapText="bothSides"/>
                <wp:docPr id="3" name="Shape 3"/>
                <a:graphic xmlns:a="http://schemas.openxmlformats.org/drawingml/2006/main">
                  <a:graphicData uri="http://schemas.microsoft.com/office/word/2010/wordprocessingShape">
                    <wps:wsp>
                      <wps:cNvSpPr txBox="1"/>
                      <wps:spPr>
                        <a:xfrm>
                          <a:ext cx="2636520" cy="2639695"/>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46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Калмыкия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Лермонтова, д. 4, г. Элиста, 358000</w:t>
                              <w:br/>
                              <w:t>тел./факс: (847 22) 4-13-31</w:t>
                            </w:r>
                          </w:p>
                          <w:p>
                            <w:pPr>
                              <w:pStyle w:val="Style2"/>
                              <w:keepNext w:val="0"/>
                              <w:keepLines w:val="0"/>
                              <w:widowControl w:val="0"/>
                              <w:shd w:val="clear" w:color="auto" w:fill="auto"/>
                              <w:bidi w:val="0"/>
                              <w:spacing w:before="0" w:after="200" w:line="269" w:lineRule="auto"/>
                              <w:ind w:left="0" w:right="0" w:firstLine="0"/>
                              <w:jc w:val="center"/>
                            </w:pPr>
                            <w:r>
                              <w:rPr>
                                <w:spacing w:val="0"/>
                                <w:w w:val="100"/>
                                <w:position w:val="0"/>
                                <w:shd w:val="clear" w:color="auto" w:fill="auto"/>
                                <w:lang w:val="ru-RU" w:eastAsia="ru-RU" w:bidi="ru-RU"/>
                              </w:rPr>
                              <w:t>е-таП: 1о08@Газ.§оу.ги</w:t>
                            </w:r>
                          </w:p>
                          <w:p>
                            <w:pPr>
                              <w:pStyle w:val="Style5"/>
                              <w:keepNext w:val="0"/>
                              <w:keepLines w:val="0"/>
                              <w:widowControl w:val="0"/>
                              <w:shd w:val="clear" w:color="auto" w:fill="auto"/>
                              <w:tabs>
                                <w:tab w:leader="underscore" w:pos="1776" w:val="left"/>
                                <w:tab w:leader="underscore" w:pos="3965" w:val="left"/>
                              </w:tabs>
                              <w:bidi w:val="0"/>
                              <w:spacing w:before="0" w:after="24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 </w:t>
                              <w:tab/>
                            </w:r>
                          </w:p>
                          <w:p>
                            <w:pPr>
                              <w:pStyle w:val="Style5"/>
                              <w:keepNext w:val="0"/>
                              <w:keepLines w:val="0"/>
                              <w:widowControl w:val="0"/>
                              <w:shd w:val="clear" w:color="auto" w:fill="auto"/>
                              <w:bidi w:val="0"/>
                              <w:spacing w:before="0" w:after="58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ru-RU" w:eastAsia="ru-RU" w:bidi="ru-RU"/>
                              </w:rPr>
                              <w:t>Решение 008/06/43-233/2024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pt;margin-top:9.3499999999999996pt;width:207.59999999999999pt;height:207.84999999999999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460"/>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Калмыкия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Лермонтова, д. 4, г. Элиста, 358000</w:t>
                        <w:br/>
                        <w:t>тел./факс: (847 22) 4-13-31</w:t>
                      </w:r>
                    </w:p>
                    <w:p>
                      <w:pPr>
                        <w:pStyle w:val="Style2"/>
                        <w:keepNext w:val="0"/>
                        <w:keepLines w:val="0"/>
                        <w:widowControl w:val="0"/>
                        <w:shd w:val="clear" w:color="auto" w:fill="auto"/>
                        <w:bidi w:val="0"/>
                        <w:spacing w:before="0" w:after="200" w:line="269" w:lineRule="auto"/>
                        <w:ind w:left="0" w:right="0" w:firstLine="0"/>
                        <w:jc w:val="center"/>
                      </w:pPr>
                      <w:r>
                        <w:rPr>
                          <w:spacing w:val="0"/>
                          <w:w w:val="100"/>
                          <w:position w:val="0"/>
                          <w:shd w:val="clear" w:color="auto" w:fill="auto"/>
                          <w:lang w:val="ru-RU" w:eastAsia="ru-RU" w:bidi="ru-RU"/>
                        </w:rPr>
                        <w:t>е-таП: 1о08@Газ.§оу.ги</w:t>
                      </w:r>
                    </w:p>
                    <w:p>
                      <w:pPr>
                        <w:pStyle w:val="Style5"/>
                        <w:keepNext w:val="0"/>
                        <w:keepLines w:val="0"/>
                        <w:widowControl w:val="0"/>
                        <w:shd w:val="clear" w:color="auto" w:fill="auto"/>
                        <w:tabs>
                          <w:tab w:leader="underscore" w:pos="1776" w:val="left"/>
                          <w:tab w:leader="underscore" w:pos="3965" w:val="left"/>
                        </w:tabs>
                        <w:bidi w:val="0"/>
                        <w:spacing w:before="0" w:after="24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 </w:t>
                        <w:tab/>
                      </w:r>
                    </w:p>
                    <w:p>
                      <w:pPr>
                        <w:pStyle w:val="Style5"/>
                        <w:keepNext w:val="0"/>
                        <w:keepLines w:val="0"/>
                        <w:widowControl w:val="0"/>
                        <w:shd w:val="clear" w:color="auto" w:fill="auto"/>
                        <w:bidi w:val="0"/>
                        <w:spacing w:before="0" w:after="58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ru-RU" w:eastAsia="ru-RU" w:bidi="ru-RU"/>
                        </w:rPr>
                        <w:t>Решение 008/06/43-233/2024</w:t>
                      </w:r>
                    </w:p>
                  </w:txbxContent>
                </v:textbox>
                <w10:wrap type="square" anchorx="page"/>
              </v:shape>
            </w:pict>
          </mc:Fallback>
        </mc:AlternateContent>
      </w:r>
    </w:p>
    <w:p>
      <w:pPr>
        <w:pStyle w:val="Style2"/>
        <w:keepNext w:val="0"/>
        <w:keepLines w:val="0"/>
        <w:widowControl w:val="0"/>
        <w:shd w:val="clear" w:color="auto" w:fill="auto"/>
        <w:bidi w:val="0"/>
        <w:spacing w:before="0" w:after="0" w:line="286" w:lineRule="auto"/>
        <w:ind w:left="1300" w:right="0" w:firstLine="0"/>
        <w:jc w:val="left"/>
        <w:rPr>
          <w:sz w:val="17"/>
          <w:szCs w:val="17"/>
        </w:rPr>
      </w:pPr>
      <w:r>
        <w:rPr>
          <w:b/>
          <w:bCs/>
          <w:spacing w:val="0"/>
          <w:w w:val="100"/>
          <w:position w:val="0"/>
          <w:sz w:val="17"/>
          <w:szCs w:val="17"/>
          <w:shd w:val="clear" w:color="auto" w:fill="auto"/>
          <w:lang w:val="ru-RU" w:eastAsia="ru-RU" w:bidi="ru-RU"/>
        </w:rPr>
        <w:t>ФЕДЕРАЛЬН</w:t>
      </w:r>
    </w:p>
    <w:p>
      <w:pPr>
        <w:pStyle w:val="Style2"/>
        <w:keepNext w:val="0"/>
        <w:keepLines w:val="0"/>
        <w:widowControl w:val="0"/>
        <w:shd w:val="clear" w:color="auto" w:fill="auto"/>
        <w:bidi w:val="0"/>
        <w:spacing w:before="0" w:after="140" w:line="286" w:lineRule="auto"/>
        <w:ind w:left="0" w:right="1240" w:firstLine="0"/>
        <w:jc w:val="right"/>
        <w:rPr>
          <w:sz w:val="17"/>
          <w:szCs w:val="17"/>
        </w:rPr>
      </w:pPr>
      <w:r>
        <w:rPr>
          <w:b/>
          <w:bCs/>
          <w:spacing w:val="0"/>
          <w:w w:val="100"/>
          <w:position w:val="0"/>
          <w:sz w:val="17"/>
          <w:szCs w:val="17"/>
          <w:shd w:val="clear" w:color="auto" w:fill="auto"/>
          <w:lang w:val="ru-RU" w:eastAsia="ru-RU" w:bidi="ru-RU"/>
        </w:rPr>
        <w:t>АНТИМОНОПОЛЬН ЦЕРГЛЛТ</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Федеральн антимонопольн</w:t>
        <w:br/>
        <w:t>цергллтин</w:t>
        <w:br/>
        <w:t>Хальмг ТарЬчар</w:t>
      </w:r>
    </w:p>
    <w:p>
      <w:pPr>
        <w:pStyle w:val="Style2"/>
        <w:keepNext w:val="0"/>
        <w:keepLines w:val="0"/>
        <w:widowControl w:val="0"/>
        <w:shd w:val="clear" w:color="auto" w:fill="auto"/>
        <w:bidi w:val="0"/>
        <w:spacing w:before="0" w:after="240" w:line="286" w:lineRule="auto"/>
        <w:ind w:left="0" w:right="0" w:firstLine="0"/>
        <w:jc w:val="center"/>
        <w:rPr>
          <w:sz w:val="17"/>
          <w:szCs w:val="17"/>
        </w:rPr>
      </w:pPr>
      <w:r>
        <w:rPr>
          <w:b/>
          <w:bCs/>
          <w:spacing w:val="0"/>
          <w:w w:val="100"/>
          <w:position w:val="0"/>
          <w:sz w:val="17"/>
          <w:szCs w:val="17"/>
          <w:shd w:val="clear" w:color="auto" w:fill="auto"/>
          <w:lang w:val="ru-RU" w:eastAsia="ru-RU" w:bidi="ru-RU"/>
        </w:rPr>
        <w:t>УУЛДДГ ЗАЛЛТ</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Лермонтова уульнц, 4 гер, Элст балЬсн, 358000</w:t>
        <w:br/>
        <w:t>тел./факс: (847 22) 4-13-31</w:t>
        <w:br/>
        <w:t>е-таП: 1о08@Га8.§оу.ги</w:t>
      </w:r>
    </w:p>
    <w:p>
      <w:pPr>
        <w:pStyle w:val="Style8"/>
        <w:keepNext w:val="0"/>
        <w:keepLines w:val="0"/>
        <w:widowControl w:val="0"/>
        <w:shd w:val="clear" w:color="auto" w:fill="auto"/>
        <w:bidi w:val="0"/>
        <w:spacing w:before="0" w:after="0" w:line="240" w:lineRule="auto"/>
        <w:ind w:left="540" w:right="0" w:firstLine="160"/>
        <w:jc w:val="both"/>
      </w:pPr>
      <w:r>
        <w:rPr>
          <w:color w:val="000000"/>
          <w:spacing w:val="0"/>
          <w:w w:val="100"/>
          <w:position w:val="0"/>
          <w:sz w:val="24"/>
          <w:szCs w:val="24"/>
          <w:shd w:val="clear" w:color="auto" w:fill="auto"/>
          <w:lang w:val="ru-RU" w:eastAsia="ru-RU" w:bidi="ru-RU"/>
        </w:rPr>
        <w:t>Национальная электронная площадка: «Фабрикант» 123112, г. Москва, ул. Тестовская, д. 10, этаж 18,</w:t>
      </w:r>
    </w:p>
    <w:p>
      <w:pPr>
        <w:pStyle w:val="Style8"/>
        <w:keepNext w:val="0"/>
        <w:keepLines w:val="0"/>
        <w:widowControl w:val="0"/>
        <w:shd w:val="clear" w:color="auto" w:fill="auto"/>
        <w:tabs>
          <w:tab w:pos="3022" w:val="left"/>
          <w:tab w:pos="5412"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помещ.1,</w:t>
        <w:tab/>
        <w:t>комната</w:t>
        <w:tab/>
        <w:t>13</w:t>
      </w:r>
    </w:p>
    <w:p>
      <w:pPr>
        <w:pStyle w:val="Style8"/>
        <w:keepNext w:val="0"/>
        <w:keepLines w:val="0"/>
        <w:widowControl w:val="0"/>
        <w:shd w:val="clear" w:color="auto" w:fill="auto"/>
        <w:bidi w:val="0"/>
        <w:spacing w:before="0" w:after="240" w:line="240" w:lineRule="auto"/>
        <w:ind w:left="0" w:right="0" w:firstLine="540"/>
        <w:jc w:val="both"/>
      </w:pPr>
      <w:r>
        <w:rPr>
          <w:color w:val="000000"/>
          <w:spacing w:val="0"/>
          <w:w w:val="100"/>
          <w:position w:val="0"/>
          <w:sz w:val="24"/>
          <w:szCs w:val="24"/>
          <w:shd w:val="clear" w:color="auto" w:fill="auto"/>
          <w:lang w:val="ru-RU" w:eastAsia="ru-RU" w:bidi="ru-RU"/>
        </w:rPr>
        <w:t>тГо@ГаЬпкапСш</w:t>
      </w:r>
    </w:p>
    <w:p>
      <w:pPr>
        <w:pStyle w:val="Style8"/>
        <w:keepNext w:val="0"/>
        <w:keepLines w:val="0"/>
        <w:widowControl w:val="0"/>
        <w:shd w:val="clear" w:color="auto" w:fill="auto"/>
        <w:bidi w:val="0"/>
        <w:spacing w:before="0" w:after="240" w:line="240" w:lineRule="auto"/>
        <w:ind w:left="540" w:right="0" w:firstLine="160"/>
        <w:jc w:val="both"/>
      </w:pPr>
      <w:r>
        <w:rPr>
          <w:color w:val="000000"/>
          <w:spacing w:val="0"/>
          <w:w w:val="100"/>
          <w:position w:val="0"/>
          <w:sz w:val="24"/>
          <w:szCs w:val="24"/>
          <w:shd w:val="clear" w:color="auto" w:fill="auto"/>
          <w:lang w:val="ru-RU" w:eastAsia="ru-RU" w:bidi="ru-RU"/>
        </w:rPr>
        <w:t>Служба регулирования контрактной системы в сфере закупок Республики Калмыкия 358014, Республика Калмыкия, г. Элиста, Территория Город Шахмат, д. 6.1.2.</w:t>
      </w:r>
    </w:p>
    <w:p>
      <w:pPr>
        <w:pStyle w:val="Style8"/>
        <w:keepNext w:val="0"/>
        <w:keepLines w:val="0"/>
        <w:widowControl w:val="0"/>
        <w:shd w:val="clear" w:color="auto" w:fill="auto"/>
        <w:tabs>
          <w:tab w:pos="8380" w:val="left"/>
        </w:tabs>
        <w:bidi w:val="0"/>
        <w:spacing w:before="0" w:after="240" w:line="240" w:lineRule="auto"/>
        <w:ind w:left="5020" w:right="0" w:firstLine="0"/>
        <w:jc w:val="both"/>
      </w:pPr>
      <w:r>
        <w:rPr>
          <w:color w:val="000000"/>
          <w:spacing w:val="0"/>
          <w:w w:val="100"/>
          <w:position w:val="0"/>
          <w:sz w:val="24"/>
          <w:szCs w:val="24"/>
          <w:shd w:val="clear" w:color="auto" w:fill="auto"/>
          <w:lang w:val="ru-RU" w:eastAsia="ru-RU" w:bidi="ru-RU"/>
        </w:rPr>
        <w:t>Гоппдоххаки|Рл@1паП.1Т1,</w:t>
        <w:tab/>
        <w:t>хакирк1@гк08.ги</w:t>
      </w:r>
    </w:p>
    <w:p>
      <w:pPr>
        <w:pStyle w:val="Style8"/>
        <w:keepNext w:val="0"/>
        <w:keepLines w:val="0"/>
        <w:widowControl w:val="0"/>
        <w:shd w:val="clear" w:color="auto" w:fill="auto"/>
        <w:tabs>
          <w:tab w:pos="9278" w:val="left"/>
        </w:tabs>
        <w:bidi w:val="0"/>
        <w:spacing w:before="0" w:after="0" w:line="240" w:lineRule="auto"/>
        <w:ind w:left="5020" w:right="0" w:firstLine="0"/>
        <w:jc w:val="both"/>
      </w:pPr>
      <w:r>
        <w:rPr>
          <w:color w:val="000000"/>
          <w:spacing w:val="0"/>
          <w:w w:val="100"/>
          <w:position w:val="0"/>
          <w:sz w:val="24"/>
          <w:szCs w:val="24"/>
          <w:shd w:val="clear" w:color="auto" w:fill="auto"/>
          <w:lang w:val="ru-RU" w:eastAsia="ru-RU" w:bidi="ru-RU"/>
        </w:rPr>
        <w:t>АО</w:t>
        <w:tab/>
        <w:t>ЦАСЭО</w:t>
      </w:r>
    </w:p>
    <w:p>
      <w:pPr>
        <w:pStyle w:val="Style8"/>
        <w:keepNext w:val="0"/>
        <w:keepLines w:val="0"/>
        <w:widowControl w:val="0"/>
        <w:shd w:val="clear" w:color="auto" w:fill="auto"/>
        <w:bidi w:val="0"/>
        <w:spacing w:before="0" w:after="240" w:line="240" w:lineRule="auto"/>
        <w:ind w:left="5020" w:right="0" w:firstLine="0"/>
        <w:jc w:val="both"/>
      </w:pPr>
      <w:r>
        <w:rPr>
          <w:color w:val="000000"/>
          <w:spacing w:val="0"/>
          <w:w w:val="100"/>
          <w:position w:val="0"/>
          <w:sz w:val="24"/>
          <w:szCs w:val="24"/>
          <w:shd w:val="clear" w:color="auto" w:fill="auto"/>
          <w:lang w:val="ru-RU" w:eastAsia="ru-RU" w:bidi="ru-RU"/>
        </w:rPr>
        <w:t>115088, г.Москва, ул.Угрешская, д.2 стр.25 есо8ра8@есо8ра8.ш</w:t>
      </w:r>
    </w:p>
    <w:p>
      <w:pPr>
        <w:pStyle w:val="Style8"/>
        <w:keepNext w:val="0"/>
        <w:keepLines w:val="0"/>
        <w:widowControl w:val="0"/>
        <w:shd w:val="clear" w:color="auto" w:fill="auto"/>
        <w:bidi w:val="0"/>
        <w:spacing w:before="0" w:after="0" w:line="240" w:lineRule="auto"/>
        <w:ind w:left="5020" w:right="0" w:firstLine="0"/>
        <w:jc w:val="both"/>
      </w:pPr>
      <w:r>
        <w:rPr>
          <w:color w:val="000000"/>
          <w:spacing w:val="0"/>
          <w:w w:val="100"/>
          <w:position w:val="0"/>
          <w:sz w:val="24"/>
          <w:szCs w:val="24"/>
          <w:shd w:val="clear" w:color="auto" w:fill="auto"/>
          <w:lang w:val="ru-RU" w:eastAsia="ru-RU" w:bidi="ru-RU"/>
        </w:rPr>
        <w:t>Администрация Городовиковского городского муниципального образования Республики Калмыкия</w:t>
      </w:r>
    </w:p>
    <w:p>
      <w:pPr>
        <w:pStyle w:val="Style8"/>
        <w:keepNext w:val="0"/>
        <w:keepLines w:val="0"/>
        <w:widowControl w:val="0"/>
        <w:shd w:val="clear" w:color="auto" w:fill="auto"/>
        <w:bidi w:val="0"/>
        <w:spacing w:before="0" w:after="240" w:line="240" w:lineRule="auto"/>
        <w:ind w:left="5020" w:right="0" w:firstLine="0"/>
        <w:jc w:val="left"/>
      </w:pPr>
      <w:r>
        <w:rPr>
          <w:color w:val="000000"/>
          <w:spacing w:val="0"/>
          <w:w w:val="100"/>
          <w:position w:val="0"/>
          <w:sz w:val="24"/>
          <w:szCs w:val="24"/>
          <w:shd w:val="clear" w:color="auto" w:fill="auto"/>
          <w:lang w:val="ru-RU" w:eastAsia="ru-RU" w:bidi="ru-RU"/>
        </w:rPr>
        <w:t>359050, РК, Городовиковский район, г. Городовиковск, переулок Комсомольский, д. 3</w:t>
      </w:r>
    </w:p>
    <w:p>
      <w:pPr>
        <w:pStyle w:val="Style8"/>
        <w:keepNext w:val="0"/>
        <w:keepLines w:val="0"/>
        <w:widowControl w:val="0"/>
        <w:shd w:val="clear" w:color="auto" w:fill="auto"/>
        <w:bidi w:val="0"/>
        <w:spacing w:before="0" w:after="340" w:line="240" w:lineRule="auto"/>
        <w:ind w:left="5020" w:right="0" w:firstLine="0"/>
        <w:jc w:val="left"/>
      </w:pPr>
      <w:r>
        <w:rPr>
          <w:color w:val="000000"/>
          <w:spacing w:val="0"/>
          <w:w w:val="100"/>
          <w:position w:val="0"/>
          <w:sz w:val="24"/>
          <w:szCs w:val="24"/>
          <w:shd w:val="clear" w:color="auto" w:fill="auto"/>
          <w:lang w:val="ru-RU" w:eastAsia="ru-RU" w:bidi="ru-RU"/>
        </w:rPr>
        <w:t>ддто@таП.ш</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 № 008/06/43-223/2024</w:t>
      </w:r>
    </w:p>
    <w:p>
      <w:pPr>
        <w:pStyle w:val="Style8"/>
        <w:keepNext w:val="0"/>
        <w:keepLines w:val="0"/>
        <w:widowControl w:val="0"/>
        <w:shd w:val="clear" w:color="auto" w:fill="auto"/>
        <w:tabs>
          <w:tab w:pos="8803"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05 ноября 2024 г.</w:t>
        <w:tab/>
        <w:t>г. Элиста</w:t>
      </w:r>
    </w:p>
    <w:p>
      <w:pPr>
        <w:pStyle w:val="Style8"/>
        <w:keepNext w:val="0"/>
        <w:keepLines w:val="0"/>
        <w:widowControl w:val="0"/>
        <w:shd w:val="clear" w:color="auto" w:fill="auto"/>
        <w:bidi w:val="0"/>
        <w:spacing w:before="0" w:after="0" w:line="240" w:lineRule="auto"/>
        <w:ind w:left="0" w:right="340" w:firstLine="0"/>
        <w:jc w:val="right"/>
      </w:pPr>
      <w:r>
        <w:rPr>
          <w:color w:val="000000"/>
          <w:spacing w:val="0"/>
          <w:w w:val="100"/>
          <w:position w:val="0"/>
          <w:sz w:val="24"/>
          <w:szCs w:val="24"/>
          <w:shd w:val="clear" w:color="auto" w:fill="auto"/>
          <w:lang w:val="ru-RU" w:eastAsia="ru-RU" w:bidi="ru-RU"/>
        </w:rPr>
        <w:t>Резолютивная часть решения объявлена - 31.10.2024г.</w:t>
      </w:r>
    </w:p>
    <w:p>
      <w:pPr>
        <w:pStyle w:val="Style8"/>
        <w:keepNext w:val="0"/>
        <w:keepLines w:val="0"/>
        <w:widowControl w:val="0"/>
        <w:shd w:val="clear" w:color="auto" w:fill="auto"/>
        <w:bidi w:val="0"/>
        <w:spacing w:before="0" w:after="0" w:line="240" w:lineRule="auto"/>
        <w:ind w:left="0" w:right="340" w:firstLine="0"/>
        <w:jc w:val="right"/>
      </w:pPr>
      <w:r>
        <w:rPr>
          <w:color w:val="000000"/>
          <w:spacing w:val="0"/>
          <w:w w:val="100"/>
          <w:position w:val="0"/>
          <w:sz w:val="24"/>
          <w:szCs w:val="24"/>
          <w:shd w:val="clear" w:color="auto" w:fill="auto"/>
          <w:lang w:val="ru-RU" w:eastAsia="ru-RU" w:bidi="ru-RU"/>
        </w:rPr>
        <w:t>Решение изготовлено в полном объеме - 05.11.2024г.</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 Комиссия Калмыцкого УФАС России) в составе:</w:t>
      </w:r>
    </w:p>
    <w:p>
      <w:pPr>
        <w:pStyle w:val="Style8"/>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Ностаева Н.В. - председатель Комиссии, Руководитель Калмыцкого УФАС России,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Мархадаева А.М. - член Комиссии, старший государственный инспектор Калмыцкого УФАС России,</w:t>
      </w:r>
    </w:p>
    <w:p>
      <w:pPr>
        <w:pStyle w:val="Style8"/>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Басангова А.В. - член Комиссии, государственный инспектор Калмыцкого УФАС России,</w:t>
      </w:r>
    </w:p>
    <w:p>
      <w:pPr>
        <w:pStyle w:val="Style8"/>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присутствии представителей по доверенности по связи ВКС:</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представителя Заказчика - Администрация Городовиковского ГМО РК - Аюшов С.А. (доверенность № б/н от 30.10.2024);</w:t>
      </w:r>
    </w:p>
    <w:p>
      <w:pPr>
        <w:pStyle w:val="Style8"/>
        <w:keepNext w:val="0"/>
        <w:keepLines w:val="0"/>
        <w:widowControl w:val="0"/>
        <w:shd w:val="clear" w:color="auto" w:fill="auto"/>
        <w:bidi w:val="0"/>
        <w:spacing w:before="0" w:after="0" w:line="240" w:lineRule="auto"/>
        <w:ind w:left="0" w:right="0" w:firstLine="540"/>
        <w:jc w:val="both"/>
      </w:pPr>
      <w:r>
        <w:drawing>
          <wp:anchor distT="76200" distB="0" distL="114300" distR="114300" simplePos="0" relativeHeight="125829381" behindDoc="0" locked="0" layoutInCell="1" allowOverlap="1">
            <wp:simplePos x="0" y="0"/>
            <wp:positionH relativeFrom="page">
              <wp:posOffset>710565</wp:posOffset>
            </wp:positionH>
            <wp:positionV relativeFrom="margin">
              <wp:posOffset>9052560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r>
        <w:rPr>
          <w:color w:val="000000"/>
          <w:spacing w:val="0"/>
          <w:w w:val="100"/>
          <w:position w:val="0"/>
          <w:sz w:val="24"/>
          <w:szCs w:val="24"/>
          <w:shd w:val="clear" w:color="auto" w:fill="auto"/>
          <w:lang w:val="ru-RU" w:eastAsia="ru-RU" w:bidi="ru-RU"/>
        </w:rPr>
        <w:t xml:space="preserve">представителя Уполномоченного органа- Службы регулирования контрактной системы в </w:t>
      </w:r>
      <w:r>
        <w:rPr>
          <w:color w:val="000000"/>
          <w:spacing w:val="0"/>
          <w:w w:val="100"/>
          <w:position w:val="0"/>
          <w:sz w:val="24"/>
          <w:szCs w:val="24"/>
          <w:shd w:val="clear" w:color="auto" w:fill="auto"/>
          <w:lang w:val="ru-RU" w:eastAsia="ru-RU" w:bidi="ru-RU"/>
        </w:rPr>
        <w:t>сфере закупок Республики Калмыкия - Бимбеева А.В. (руководитель);</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представителя заявителя АО «ЦАСЭО» - Атрохова Н.П., Разживин М.И., Симонов Б.П. (доверенность № 190 от 29.10.24г.);</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третьи лица - АО «Гео Палитра» - Самусевич Н.И. (доверенность № 2 от 30.10.24г.);</w:t>
      </w:r>
    </w:p>
    <w:p>
      <w:pPr>
        <w:pStyle w:val="Style8"/>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в открытом заседании жалобу АО «ЦАСЭО»,</w:t>
      </w:r>
    </w:p>
    <w:p>
      <w:pPr>
        <w:pStyle w:val="Style8"/>
        <w:keepNext w:val="0"/>
        <w:keepLines w:val="0"/>
        <w:widowControl w:val="0"/>
        <w:shd w:val="clear" w:color="auto" w:fill="auto"/>
        <w:bidi w:val="0"/>
        <w:spacing w:before="0" w:after="240" w:line="240" w:lineRule="auto"/>
        <w:ind w:left="4740" w:right="0" w:firstLine="0"/>
        <w:jc w:val="both"/>
      </w:pPr>
      <w:r>
        <w:rPr>
          <w:b/>
          <w:bCs/>
          <w:color w:val="000000"/>
          <w:spacing w:val="0"/>
          <w:w w:val="100"/>
          <w:position w:val="0"/>
          <w:sz w:val="24"/>
          <w:szCs w:val="24"/>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Калмыцкое УФАС России 24.10.2024, поступила жалоба от АО «ЦАСЭО» на положения извещения об осуществления закупки Заказчика - Администрация Городовиковского ГМО РК, Уполномоченного органа - Службы регулирования контрактной системы в сфере закупок Республики Калмыкия, при проведении открытого конкурса в электронной форме на работы по выполнению инженерных изысканий, разработку проектной и сметной документации ликвидации объекта накопленного вреда окружающей среде объекта накопленного вреда окружающей среде объекта «Несанкционированная свалка на земельном участке площадью 6,98 га. Республика Калмыкия, Городовиковский район, г.Городовиковск, Промзона», рекультивации земельного участка с кадастровым номером 08:01:230102:3 и прилегающих земель, реестровый номер извещения № 0105500000224001374.</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обжалует протокол рассмотрения и оценки вторых частей заявок на участие в закупке, считает, что компания соответствует всем требованиям конкурсной документации.</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Уведомлением от 28.10.2024г. рассмотрение жалобы АО «ЦАСЭО» по существу было назначено на 30.10.2024г. в «15» часов «00» минут.</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дату рассмотрения жалобы, процедура приостановлена.</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связи с изучением материалов дела, Комиссия Калмыцкого УФАС России отложила рассмотрение дела на 31.10.2024 в 11 часов 00 минут.</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31 октября 2024 года состоялось рассмотрение жалобы АО «ЦАСЭО».</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Заявитель жалобы на заседании Комиссии Калмыцкого УФАС России доводы, изложенные в жалобе, поддержал в полном объеме.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Представитель заказчика на заседании Комиссии Калмыцкого УФАС России с доводами, изложенными в жалобе заявителя, согласился, факт нарушений требований Закона о контрактной системе признал, считают жалобу заявителя обоснованной.</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Представитель Уполномоченного органа согласен с доводами жалобы, просят выдать предписание и заново рассмотреть заявки участников.</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Республике Калмыкия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07.10.2024 в единой информационной системе и на сайте электронной площадки - Фабрикант - размещено извещение электронного аукциона в электронной форме.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Начальная (максимальная) цена контракта - 13 150 000,00 рублей.</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1) Довод заявителя, что Заказчик при рассмотрении заявки АО «ЦАСЭО» не учёл квалификационные документы по специалистам и иным работникам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 3 и п. 4 ч. 1 ст. 32 Закона о контрактной системе критериями оценки этих заявок, окончательных предложений.</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Таким образом, предмет жалобы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w:t>
      </w:r>
      <w:r>
        <w:rPr>
          <w:color w:val="000000"/>
          <w:spacing w:val="0"/>
          <w:w w:val="100"/>
          <w:position w:val="0"/>
          <w:sz w:val="24"/>
          <w:szCs w:val="24"/>
          <w:shd w:val="clear" w:color="auto" w:fill="auto"/>
          <w:lang w:val="ru-RU" w:eastAsia="ru-RU" w:bidi="ru-RU"/>
        </w:rPr>
        <w:t>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Ч.1 ст. 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8"/>
        <w:keepNext w:val="0"/>
        <w:keepLines w:val="0"/>
        <w:widowControl w:val="0"/>
        <w:numPr>
          <w:ilvl w:val="0"/>
          <w:numId w:val="1"/>
        </w:numPr>
        <w:shd w:val="clear" w:color="auto" w:fill="auto"/>
        <w:tabs>
          <w:tab w:pos="89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цена контракта;</w:t>
      </w:r>
    </w:p>
    <w:p>
      <w:pPr>
        <w:pStyle w:val="Style8"/>
        <w:keepNext w:val="0"/>
        <w:keepLines w:val="0"/>
        <w:widowControl w:val="0"/>
        <w:numPr>
          <w:ilvl w:val="0"/>
          <w:numId w:val="1"/>
        </w:numPr>
        <w:shd w:val="clear" w:color="auto" w:fill="auto"/>
        <w:tabs>
          <w:tab w:pos="920"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8"/>
        <w:keepNext w:val="0"/>
        <w:keepLines w:val="0"/>
        <w:widowControl w:val="0"/>
        <w:numPr>
          <w:ilvl w:val="0"/>
          <w:numId w:val="1"/>
        </w:numPr>
        <w:shd w:val="clear" w:color="auto" w:fill="auto"/>
        <w:tabs>
          <w:tab w:pos="915"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8"/>
        <w:keepNext w:val="0"/>
        <w:keepLines w:val="0"/>
        <w:widowControl w:val="0"/>
        <w:numPr>
          <w:ilvl w:val="0"/>
          <w:numId w:val="1"/>
        </w:numPr>
        <w:shd w:val="clear" w:color="auto" w:fill="auto"/>
        <w:tabs>
          <w:tab w:pos="907"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 32 Закона о контрактной системе.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конкурсной документацией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4 ст. 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Законом о контрактной системе предусмотрена документация о закупке) В соответствии с п. 24 Порядка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8"/>
        <w:keepNext w:val="0"/>
        <w:keepLines w:val="0"/>
        <w:widowControl w:val="0"/>
        <w:numPr>
          <w:ilvl w:val="0"/>
          <w:numId w:val="3"/>
        </w:numPr>
        <w:shd w:val="clear" w:color="auto" w:fill="auto"/>
        <w:tabs>
          <w:tab w:pos="901"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8"/>
        <w:keepNext w:val="0"/>
        <w:keepLines w:val="0"/>
        <w:widowControl w:val="0"/>
        <w:numPr>
          <w:ilvl w:val="0"/>
          <w:numId w:val="3"/>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8"/>
        <w:keepNext w:val="0"/>
        <w:keepLines w:val="0"/>
        <w:widowControl w:val="0"/>
        <w:numPr>
          <w:ilvl w:val="0"/>
          <w:numId w:val="3"/>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8"/>
        <w:keepNext w:val="0"/>
        <w:keepLines w:val="0"/>
        <w:widowControl w:val="0"/>
        <w:numPr>
          <w:ilvl w:val="0"/>
          <w:numId w:val="3"/>
        </w:numPr>
        <w:shd w:val="clear" w:color="auto" w:fill="auto"/>
        <w:tabs>
          <w:tab w:pos="891"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8"/>
        <w:keepNext w:val="0"/>
        <w:keepLines w:val="0"/>
        <w:widowControl w:val="0"/>
        <w:numPr>
          <w:ilvl w:val="0"/>
          <w:numId w:val="3"/>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 25 Порядка для оценки заявок по показателям оценки, предусмотренным пунктом 24 Положения, применяются детализирующие показатели.</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Комиссией Управления установлено, что согласно порядку оценки по показателю "Наличие у </w:t>
      </w:r>
      <w:r>
        <w:rPr>
          <w:color w:val="000000"/>
          <w:spacing w:val="0"/>
          <w:w w:val="100"/>
          <w:position w:val="0"/>
          <w:sz w:val="24"/>
          <w:szCs w:val="24"/>
          <w:shd w:val="clear" w:color="auto" w:fill="auto"/>
          <w:lang w:val="ru-RU" w:eastAsia="ru-RU" w:bidi="ru-RU"/>
        </w:rPr>
        <w:t>участников закупки специалистов и иных работников определенного уровня квалификации":</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"Оценка заявок осуществляется по шкале в соответствии с п. 22 Положения (расположена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Оценке подлежит состав специалистов и иных работников определенного уровня квалификации, имеющих полный комплект подтверждающих документов, состоящих в штате либо привлеченных на основе гражданско-правовых договоров, которые будут оказывать услуги по направлениям.</w:t>
      </w:r>
    </w:p>
    <w:p>
      <w:pPr>
        <w:pStyle w:val="Style8"/>
        <w:keepNext w:val="0"/>
        <w:keepLines w:val="0"/>
        <w:widowControl w:val="0"/>
        <w:shd w:val="clear" w:color="auto" w:fill="auto"/>
        <w:bidi w:val="0"/>
        <w:spacing w:before="0" w:after="0" w:line="240" w:lineRule="auto"/>
        <w:ind w:left="0" w:right="0"/>
        <w:jc w:val="both"/>
      </w:pPr>
      <w:r>
        <w:rPr>
          <w:i/>
          <w:iCs/>
          <w:color w:val="000000"/>
          <w:spacing w:val="0"/>
          <w:w w:val="100"/>
          <w:position w:val="0"/>
          <w:sz w:val="24"/>
          <w:szCs w:val="24"/>
          <w:shd w:val="clear" w:color="auto" w:fill="auto"/>
          <w:lang w:val="ru-RU" w:eastAsia="ru-RU" w:bidi="ru-RU"/>
        </w:rPr>
        <w:t>Детализирующий показатель:</w:t>
      </w:r>
      <w:r>
        <w:rPr>
          <w:color w:val="000000"/>
          <w:spacing w:val="0"/>
          <w:w w:val="100"/>
          <w:position w:val="0"/>
          <w:sz w:val="24"/>
          <w:szCs w:val="24"/>
          <w:shd w:val="clear" w:color="auto" w:fill="auto"/>
          <w:lang w:val="ru-RU" w:eastAsia="ru-RU" w:bidi="ru-RU"/>
        </w:rPr>
        <w:t xml:space="preserve"> общее количество исполненных участником закупки договоров:</w:t>
      </w:r>
    </w:p>
    <w:p>
      <w:pPr>
        <w:pStyle w:val="Style8"/>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Лучшим является наибольшее значение характеристики объекта закупки и установлено предельное максимальное значение характеристики объекта закупки в количестве 1 (одного) специалиста и иных работников.</w:t>
      </w:r>
    </w:p>
    <w:p>
      <w:pPr>
        <w:pStyle w:val="Style8"/>
        <w:keepNext w:val="0"/>
        <w:keepLines w:val="0"/>
        <w:widowControl w:val="0"/>
        <w:numPr>
          <w:ilvl w:val="0"/>
          <w:numId w:val="5"/>
        </w:numPr>
        <w:shd w:val="clear" w:color="auto" w:fill="auto"/>
        <w:tabs>
          <w:tab w:pos="770" w:val="left"/>
        </w:tabs>
        <w:bidi w:val="0"/>
        <w:spacing w:before="0" w:after="0" w:line="240" w:lineRule="auto"/>
        <w:ind w:left="740" w:right="0" w:hanging="320"/>
        <w:jc w:val="both"/>
      </w:pPr>
      <w:r>
        <w:rPr>
          <w:color w:val="000000"/>
          <w:spacing w:val="0"/>
          <w:w w:val="100"/>
          <w:position w:val="0"/>
          <w:sz w:val="24"/>
          <w:szCs w:val="24"/>
          <w:shd w:val="clear" w:color="auto" w:fill="auto"/>
          <w:lang w:val="ru-RU" w:eastAsia="ru-RU" w:bidi="ru-RU"/>
        </w:rPr>
        <w:t>Оценивается наличие у участников закупки специалистов и иных работников, необходимых для выполнения работ, являющихся объектом закупки, их квалификация.</w:t>
      </w:r>
    </w:p>
    <w:p>
      <w:pPr>
        <w:pStyle w:val="Style8"/>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Перечень специалистов и иных работников, их квалификация, подлежащих оценке:</w:t>
      </w:r>
    </w:p>
    <w:p>
      <w:pPr>
        <w:pStyle w:val="Style8"/>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«Главный инженер проекта»</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Информация о перечне специалистов и иных работников, и их квалификации подтверждается одновременно представленным следующим комплектом документов в совокупности:</w:t>
      </w:r>
    </w:p>
    <w:p>
      <w:pPr>
        <w:pStyle w:val="Style8"/>
        <w:keepNext w:val="0"/>
        <w:keepLines w:val="0"/>
        <w:widowControl w:val="0"/>
        <w:numPr>
          <w:ilvl w:val="0"/>
          <w:numId w:val="7"/>
        </w:numPr>
        <w:shd w:val="clear" w:color="auto" w:fill="auto"/>
        <w:tabs>
          <w:tab w:pos="254"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трудовая книжка или сведения о трудовой деятельности, предусмотренные статьей 66.1 Трудового кодекса Российской Федерации;</w:t>
      </w:r>
    </w:p>
    <w:p>
      <w:pPr>
        <w:pStyle w:val="Style8"/>
        <w:keepNext w:val="0"/>
        <w:keepLines w:val="0"/>
        <w:widowControl w:val="0"/>
        <w:numPr>
          <w:ilvl w:val="0"/>
          <w:numId w:val="7"/>
        </w:numPr>
        <w:shd w:val="clear" w:color="auto" w:fill="auto"/>
        <w:tabs>
          <w:tab w:pos="624" w:val="left"/>
        </w:tabs>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диплом о наличии высшего образования, подтверждающий квалификацию в соответствии с профессиональными стандартами.</w:t>
      </w:r>
    </w:p>
    <w:p>
      <w:pPr>
        <w:pStyle w:val="Style8"/>
        <w:keepNext w:val="0"/>
        <w:keepLines w:val="0"/>
        <w:widowControl w:val="0"/>
        <w:numPr>
          <w:ilvl w:val="0"/>
          <w:numId w:val="5"/>
        </w:numPr>
        <w:shd w:val="clear" w:color="auto" w:fill="auto"/>
        <w:tabs>
          <w:tab w:pos="744" w:val="left"/>
        </w:tabs>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Оценивается на основании представленного участником закупки комплекта документов в совокупности.</w:t>
      </w:r>
    </w:p>
    <w:p>
      <w:pPr>
        <w:pStyle w:val="Style8"/>
        <w:keepNext w:val="0"/>
        <w:keepLines w:val="0"/>
        <w:widowControl w:val="0"/>
        <w:shd w:val="clear" w:color="auto" w:fill="auto"/>
        <w:bidi w:val="0"/>
        <w:spacing w:before="0" w:after="0" w:line="240" w:lineRule="auto"/>
        <w:ind w:left="0" w:right="0" w:firstLine="420"/>
        <w:jc w:val="both"/>
      </w:pPr>
      <w:r>
        <w:rPr>
          <w:color w:val="000000"/>
          <w:spacing w:val="0"/>
          <w:w w:val="100"/>
          <w:position w:val="0"/>
          <w:sz w:val="24"/>
          <w:szCs w:val="24"/>
          <w:shd w:val="clear" w:color="auto" w:fill="auto"/>
          <w:lang w:val="ru-RU" w:eastAsia="ru-RU" w:bidi="ru-RU"/>
        </w:rPr>
        <w:t>В случае предоставления диплома на иностранном языке необходимо предоставить заверенный перевод на русский язык.</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отсутствии в заявке на участие сведений по детализирующему показателю и/или документов, подтверждающих такие сведения, участник закупки получает 0 баллов по данному детализирующему показателю.</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протоколу рассмотрения и оценки вторых частей заявок от 23.10.24г. № 0105500000224001374 установлено, что заявке АО «ЦАСЭО» в критерии оценки наличие у участников закупки специалистов и иных работников определенного уровня квалификации, присвоено - 0 баллов.</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Калмыцкого УФАС России установила, что, АО «ЦАСЭО» в подтверждении квалификационных требований были представлены:</w:t>
      </w:r>
    </w:p>
    <w:p>
      <w:pPr>
        <w:pStyle w:val="Style8"/>
        <w:keepNext w:val="0"/>
        <w:keepLines w:val="0"/>
        <w:widowControl w:val="0"/>
        <w:numPr>
          <w:ilvl w:val="0"/>
          <w:numId w:val="9"/>
        </w:numPr>
        <w:shd w:val="clear" w:color="auto" w:fill="auto"/>
        <w:tabs>
          <w:tab w:pos="8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договоры в соответствии с предметом контракта в количестве 18 договоров со всеми актами за последние 5 лет.</w:t>
      </w:r>
    </w:p>
    <w:p>
      <w:pPr>
        <w:pStyle w:val="Style8"/>
        <w:keepNext w:val="0"/>
        <w:keepLines w:val="0"/>
        <w:widowControl w:val="0"/>
        <w:numPr>
          <w:ilvl w:val="0"/>
          <w:numId w:val="9"/>
        </w:numPr>
        <w:shd w:val="clear" w:color="auto" w:fill="auto"/>
        <w:tabs>
          <w:tab w:pos="8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информация о специалистах, главного инженера Гаркунова С.А., инженер-строитель Гнездилов И.Н., специалист в области инженерных изысканий Егоров В.В., инженер-гидрогеолог - Мамонтов В.В.</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пояснениям уполномоченного органа: «</w:t>
      </w:r>
      <w:r>
        <w:rPr>
          <w:i/>
          <w:iCs/>
          <w:color w:val="000000"/>
          <w:spacing w:val="0"/>
          <w:w w:val="100"/>
          <w:position w:val="0"/>
          <w:sz w:val="24"/>
          <w:szCs w:val="24"/>
          <w:shd w:val="clear" w:color="auto" w:fill="auto"/>
          <w:lang w:val="ru-RU" w:eastAsia="ru-RU" w:bidi="ru-RU"/>
        </w:rPr>
        <w:t>Квалификационным справочником должностей руководителей, специалистов и других служащих, утвержденным Постановлением Минтруда России от 21.08.1998 № 37 (далее - Справочник) нормативно определены квалификационные характеристики, определяющие трудовую функцию работника и регламентирующим ее содержание.</w:t>
      </w:r>
    </w:p>
    <w:p>
      <w:pPr>
        <w:pStyle w:val="Style8"/>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Согласно справочнику полагаем, что «Главный инженер проекта» равен по квалификации должности «Руководителя проектов», так как должностные обязанности, требования к знаниям, требования к квалификации: высшее профессиональное образование и стаж работы по проектированию или научно-педагогической работы в соответствующей области знаний не менее 8 лет, а при проектировании особо крупных и сложных объектов - не менее 10 лет.</w:t>
      </w:r>
    </w:p>
    <w:p>
      <w:pPr>
        <w:pStyle w:val="Style8"/>
        <w:keepNext w:val="0"/>
        <w:keepLines w:val="0"/>
        <w:widowControl w:val="0"/>
        <w:shd w:val="clear" w:color="auto" w:fill="auto"/>
        <w:bidi w:val="0"/>
        <w:spacing w:before="0" w:after="0" w:line="240" w:lineRule="auto"/>
        <w:ind w:left="0" w:right="0" w:firstLine="760"/>
        <w:jc w:val="both"/>
        <w:sectPr>
          <w:footerReference w:type="default" r:id="rId9"/>
          <w:footerReference w:type="first" r:id="rId10"/>
          <w:footnotePr>
            <w:pos w:val="pageBottom"/>
            <w:numFmt w:val="decimal"/>
            <w:numRestart w:val="continuous"/>
          </w:footnotePr>
          <w:pgSz w:w="11900" w:h="16840"/>
          <w:pgMar w:top="870" w:right="525" w:bottom="1253" w:left="1088" w:header="0" w:footer="3" w:gutter="0"/>
          <w:pgNumType w:start="1"/>
          <w:cols w:space="720"/>
          <w:noEndnote/>
          <w:titlePg/>
          <w:rtlGutter w:val="0"/>
          <w:docGrid w:linePitch="360"/>
        </w:sectPr>
      </w:pPr>
      <w:r>
        <w:rPr>
          <w:i/>
          <w:iCs/>
          <w:color w:val="000000"/>
          <w:spacing w:val="0"/>
          <w:w w:val="100"/>
          <w:position w:val="0"/>
          <w:sz w:val="24"/>
          <w:szCs w:val="24"/>
          <w:shd w:val="clear" w:color="auto" w:fill="auto"/>
          <w:lang w:val="ru-RU" w:eastAsia="ru-RU" w:bidi="ru-RU"/>
        </w:rPr>
        <w:t>Рассмотрение заявок проходит в сжатые сроки, таким образом конкурсная комиссия не знала, что должность «Главного инженера проекта» равнозначна должности «Руководителя</w:t>
      </w:r>
    </w:p>
    <w:p>
      <w:pPr>
        <w:pStyle w:val="Style8"/>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проектов».</w:t>
      </w:r>
    </w:p>
    <w:p>
      <w:pPr>
        <w:pStyle w:val="Style8"/>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(ч. 4 ст. 24 Закона о контрактной системе).</w:t>
      </w:r>
    </w:p>
    <w:p>
      <w:pPr>
        <w:pStyle w:val="Style8"/>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Исходя из совокупности положений Закона о контрактной системе, п. 28 Порядка, утвержденного постановлением Правительства РФ от 31.12.2021 № 2604, Служба регулирования контрактной системы в сфере закупок РК считает, что показатели оценки устанавливаются с целью выявления лучших условий исполнения контракта».</w:t>
      </w:r>
    </w:p>
    <w:p>
      <w:pPr>
        <w:pStyle w:val="Style8"/>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Таким образом, просим выдать предписание об отмене протокола рассмотрения и оценки вторых частей заявок на участие в конкурсе и учесть специалиста с должностью «Руководитель проекта» - Гнездилова И.Н.</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в действиях Заказчика, имеется нарушения Порядка рассмотрения и оценки заявок на участие в конкурсе.</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Следовательно, довод жалобы обоснован.</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Также Комиссия Калмыцкого УФАС России проведя внеплановую проверку установила, что у победителя не подтвержден опыт, так предоставленные два контракта, один с ООО «Гипрозем» от 28.05.2020г., контракт с ПАО «Газ» от 22.09.2020г., отсутствуют документы в полном объеме выполнения работ.</w:t>
      </w:r>
    </w:p>
    <w:p>
      <w:pPr>
        <w:pStyle w:val="Style8"/>
        <w:keepNext w:val="0"/>
        <w:keepLines w:val="0"/>
        <w:widowControl w:val="0"/>
        <w:shd w:val="clear" w:color="auto" w:fill="auto"/>
        <w:bidi w:val="0"/>
        <w:spacing w:before="0" w:after="280" w:line="276" w:lineRule="auto"/>
        <w:ind w:left="0" w:right="0" w:firstLine="600"/>
        <w:jc w:val="both"/>
      </w:pPr>
      <w:r>
        <w:rPr>
          <w:color w:val="000000"/>
          <w:spacing w:val="0"/>
          <w:w w:val="100"/>
          <w:position w:val="0"/>
          <w:sz w:val="24"/>
          <w:szCs w:val="24"/>
          <w:shd w:val="clear" w:color="auto" w:fill="auto"/>
          <w:lang w:val="ru-RU" w:eastAsia="ru-RU" w:bidi="ru-RU"/>
        </w:rPr>
        <w:t>На основании изложенного, руководствуясь частью 1 статьи 2, частью 15 статьи 99, частью 8 статьи 106 Закона о контрактной системе, Комиссия Калмыцкого УФАС России</w:t>
      </w:r>
    </w:p>
    <w:p>
      <w:pPr>
        <w:pStyle w:val="Style8"/>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8"/>
        <w:keepNext w:val="0"/>
        <w:keepLines w:val="0"/>
        <w:widowControl w:val="0"/>
        <w:numPr>
          <w:ilvl w:val="0"/>
          <w:numId w:val="11"/>
        </w:numPr>
        <w:shd w:val="clear" w:color="auto" w:fill="auto"/>
        <w:tabs>
          <w:tab w:pos="140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АО «ЦАСЭО» - обоснованной.</w:t>
      </w:r>
    </w:p>
    <w:p>
      <w:pPr>
        <w:pStyle w:val="Style8"/>
        <w:keepNext w:val="0"/>
        <w:keepLines w:val="0"/>
        <w:widowControl w:val="0"/>
        <w:numPr>
          <w:ilvl w:val="0"/>
          <w:numId w:val="11"/>
        </w:numPr>
        <w:shd w:val="clear" w:color="auto" w:fill="auto"/>
        <w:tabs>
          <w:tab w:pos="921"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в действиях Заказчика - Администрации Городовиковского ГМО РК, Уполномоченному органу - Службе регулирования контрактной системы в сфере закупок Республики Калмыкия, нарушения п.2.1., п.2.2 Порядка рассмотрения и оценки заявок на участие в конкурсе.</w:t>
      </w:r>
    </w:p>
    <w:p>
      <w:pPr>
        <w:pStyle w:val="Style8"/>
        <w:keepNext w:val="0"/>
        <w:keepLines w:val="0"/>
        <w:widowControl w:val="0"/>
        <w:numPr>
          <w:ilvl w:val="0"/>
          <w:numId w:val="11"/>
        </w:numPr>
        <w:shd w:val="clear" w:color="auto" w:fill="auto"/>
        <w:tabs>
          <w:tab w:pos="91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Выдать Заказчику - Администрации Городовиковского ГМО РК, Уполномоченному органу - Службе регулирования контрактной системы в сфере закупок Республики Калмыкия, предписание.</w:t>
      </w:r>
    </w:p>
    <w:p>
      <w:pPr>
        <w:pStyle w:val="Style8"/>
        <w:keepNext w:val="0"/>
        <w:keepLines w:val="0"/>
        <w:widowControl w:val="0"/>
        <w:numPr>
          <w:ilvl w:val="0"/>
          <w:numId w:val="11"/>
        </w:numPr>
        <w:shd w:val="clear" w:color="auto" w:fill="auto"/>
        <w:tabs>
          <w:tab w:pos="911" w:val="left"/>
        </w:tabs>
        <w:bidi w:val="0"/>
        <w:spacing w:before="0" w:after="100" w:line="240" w:lineRule="auto"/>
        <w:ind w:left="0" w:right="0" w:firstLine="600"/>
        <w:jc w:val="both"/>
      </w:pPr>
      <w:r>
        <w:rPr>
          <w:color w:val="000000"/>
          <w:spacing w:val="0"/>
          <w:w w:val="100"/>
          <w:position w:val="0"/>
          <w:sz w:val="24"/>
          <w:szCs w:val="24"/>
          <w:shd w:val="clear" w:color="auto" w:fill="auto"/>
          <w:lang w:val="ru-RU" w:eastAsia="ru-RU" w:bidi="ru-RU"/>
        </w:rPr>
        <w:t>Передать материалы дела должностному лицу для рассмотрения вопроса о возбуждении дела об административном правонарушении.</w:t>
      </w:r>
    </w:p>
    <w:tbl>
      <w:tblPr>
        <w:tblOverlap w:val="never"/>
        <w:jc w:val="center"/>
        <w:tblLayout w:type="fixed"/>
      </w:tblPr>
      <w:tblGrid>
        <w:gridCol w:w="3062"/>
        <w:gridCol w:w="72"/>
        <w:gridCol w:w="3350"/>
        <w:gridCol w:w="72"/>
        <w:gridCol w:w="3658"/>
      </w:tblGrid>
      <w:tr>
        <w:trPr>
          <w:trHeight w:val="691" w:hRule="exact"/>
        </w:trPr>
        <w:tc>
          <w:tcPr>
            <w:gridSpan w:val="2"/>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 '</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600" w:right="0" w:firstLine="0"/>
              <w:jc w:val="left"/>
              <w:rPr>
                <w:sz w:val="11"/>
                <w:szCs w:val="11"/>
              </w:rPr>
            </w:pPr>
            <w:r>
              <w:rPr>
                <w:b/>
                <w:bCs/>
                <w:color w:val="252525"/>
                <w:spacing w:val="0"/>
                <w:w w:val="100"/>
                <w:position w:val="0"/>
                <w:sz w:val="11"/>
                <w:szCs w:val="11"/>
                <w:shd w:val="clear" w:color="auto" w:fill="auto"/>
                <w:lang w:val="ru-RU" w:eastAsia="ru-RU" w:bidi="ru-RU"/>
              </w:rPr>
              <w:t xml:space="preserve">Подлинник электронного документа, подписанного </w:t>
            </w:r>
            <w:r>
              <w:rPr>
                <w:b/>
                <w:bCs/>
                <w:color w:val="565656"/>
                <w:spacing w:val="0"/>
                <w:w w:val="100"/>
                <w:position w:val="0"/>
                <w:sz w:val="11"/>
                <w:szCs w:val="11"/>
                <w:shd w:val="clear" w:color="auto" w:fill="auto"/>
                <w:lang w:val="ru-RU" w:eastAsia="ru-RU" w:bidi="ru-RU"/>
              </w:rPr>
              <w:t xml:space="preserve">ЭП, </w:t>
            </w:r>
            <w:r>
              <w:rPr>
                <w:b/>
                <w:bCs/>
                <w:color w:val="252525"/>
                <w:spacing w:val="0"/>
                <w:w w:val="100"/>
                <w:position w:val="0"/>
                <w:sz w:val="11"/>
                <w:szCs w:val="11"/>
                <w:shd w:val="clear" w:color="auto" w:fill="auto"/>
                <w:lang w:val="ru-RU" w:eastAsia="ru-RU" w:bidi="ru-RU"/>
              </w:rPr>
              <w:t>хранится в системе электронного документооборота ФАС России</w:t>
            </w:r>
          </w:p>
        </w:tc>
        <w:tc>
          <w:tcPr>
            <w:gridSpan w:val="2"/>
            <w:tcBorders>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Ностаева</w:t>
            </w:r>
          </w:p>
        </w:tc>
      </w:tr>
      <w:tr>
        <w:trPr>
          <w:trHeight w:val="130" w:hRule="exact"/>
        </w:trPr>
        <w:tc>
          <w:tcPr>
            <w:gridSpan w:val="2"/>
            <w:tcBorders/>
            <w:shd w:val="clear" w:color="auto" w:fill="auto"/>
            <w:vAlign w:val="top"/>
          </w:tcPr>
          <w:p>
            <w:pPr>
              <w:widowControl w:val="0"/>
              <w:rPr>
                <w:sz w:val="10"/>
                <w:szCs w:val="10"/>
              </w:rPr>
            </w:pPr>
          </w:p>
        </w:tc>
        <w:tc>
          <w:tcPr>
            <w:tcBorders>
              <w:left w:val="single" w:sz="4"/>
            </w:tcBorders>
            <w:shd w:val="clear" w:color="auto" w:fill="000000"/>
            <w:vAlign w:val="top"/>
          </w:tcPr>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68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c>
        <w:tc>
          <w:tcPr>
            <w:gridSpan w:val="2"/>
            <w:tcBorders>
              <w:left w:val="single" w:sz="4"/>
            </w:tcBorders>
            <w:shd w:val="clear" w:color="auto" w:fill="auto"/>
            <w:vAlign w:val="top"/>
          </w:tcPr>
          <w:p>
            <w:pPr>
              <w:widowControl w:val="0"/>
              <w:rPr>
                <w:sz w:val="10"/>
                <w:szCs w:val="10"/>
              </w:rPr>
            </w:pPr>
          </w:p>
        </w:tc>
      </w:tr>
      <w:tr>
        <w:trPr>
          <w:trHeight w:val="2026" w:hRule="exact"/>
        </w:trPr>
        <w:tc>
          <w:tcPr>
            <w:gridSpan w:val="2"/>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c>
        <w:tc>
          <w:tcPr>
            <w:tcBorders>
              <w:left w:val="single" w:sz="4"/>
            </w:tcBorders>
            <w:shd w:val="clear" w:color="auto" w:fill="auto"/>
            <w:vAlign w:val="center"/>
          </w:tcPr>
          <w:p>
            <w:pPr>
              <w:pStyle w:val="Style15"/>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25252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 xml:space="preserve">Ностаева Наталья Вячеславовна </w:t>
            </w:r>
            <w:r>
              <w:rPr>
                <w:rFonts w:ascii="Arial" w:eastAsia="Arial" w:hAnsi="Arial" w:cs="Arial"/>
                <w:color w:val="25252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65656"/>
                <w:spacing w:val="0"/>
                <w:w w:val="100"/>
                <w:position w:val="0"/>
                <w:sz w:val="12"/>
                <w:szCs w:val="12"/>
                <w:shd w:val="clear" w:color="auto" w:fill="auto"/>
                <w:lang w:val="ru-RU" w:eastAsia="ru-RU" w:bidi="ru-RU"/>
              </w:rPr>
              <w:t>2248ВВ8Е52Е9Е3592АЕРЕ4В34О3312Е0</w:t>
            </w:r>
          </w:p>
          <w:p>
            <w:pPr>
              <w:pStyle w:val="Style15"/>
              <w:keepNext w:val="0"/>
              <w:keepLines w:val="0"/>
              <w:widowControl w:val="0"/>
              <w:shd w:val="clear" w:color="auto" w:fill="auto"/>
              <w:bidi w:val="0"/>
              <w:spacing w:before="0" w:after="940" w:line="276" w:lineRule="auto"/>
              <w:ind w:left="0" w:right="0" w:firstLine="0"/>
              <w:jc w:val="left"/>
              <w:rPr>
                <w:sz w:val="12"/>
                <w:szCs w:val="12"/>
              </w:rPr>
            </w:pPr>
            <w:r>
              <w:rPr>
                <w:rFonts w:ascii="Arial" w:eastAsia="Arial" w:hAnsi="Arial" w:cs="Arial"/>
                <w:color w:val="565656"/>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252525"/>
                <w:spacing w:val="0"/>
                <w:w w:val="100"/>
                <w:position w:val="0"/>
                <w:sz w:val="12"/>
                <w:szCs w:val="12"/>
                <w:shd w:val="clear" w:color="auto" w:fill="auto"/>
                <w:lang w:val="ru-RU" w:eastAsia="ru-RU" w:bidi="ru-RU"/>
              </w:rPr>
              <w:t xml:space="preserve">04.07.2024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565656"/>
                <w:spacing w:val="0"/>
                <w:w w:val="100"/>
                <w:position w:val="0"/>
                <w:sz w:val="12"/>
                <w:szCs w:val="12"/>
                <w:shd w:val="clear" w:color="auto" w:fill="auto"/>
                <w:lang w:val="ru-RU" w:eastAsia="ru-RU" w:bidi="ru-RU"/>
              </w:rPr>
              <w:t>27.09.2025</w:t>
            </w:r>
          </w:p>
          <w:p>
            <w:pPr>
              <w:pStyle w:val="Style15"/>
              <w:keepNext w:val="0"/>
              <w:keepLines w:val="0"/>
              <w:widowControl w:val="0"/>
              <w:shd w:val="clear" w:color="auto" w:fill="auto"/>
              <w:bidi w:val="0"/>
              <w:spacing w:before="0" w:after="0" w:line="240" w:lineRule="auto"/>
              <w:ind w:left="600" w:right="0" w:firstLine="0"/>
              <w:jc w:val="left"/>
              <w:rPr>
                <w:sz w:val="11"/>
                <w:szCs w:val="11"/>
              </w:rPr>
            </w:pPr>
            <w:r>
              <w:rPr>
                <w:b/>
                <w:bCs/>
                <w:color w:val="252525"/>
                <w:spacing w:val="0"/>
                <w:w w:val="100"/>
                <w:position w:val="0"/>
                <w:sz w:val="11"/>
                <w:szCs w:val="11"/>
                <w:shd w:val="clear" w:color="auto" w:fill="auto"/>
                <w:lang w:val="ru-RU" w:eastAsia="ru-RU" w:bidi="ru-RU"/>
              </w:rPr>
              <w:t>Подлинник электронного документа, подписанного ЭП, хранится в системе электронного</w:t>
            </w:r>
          </w:p>
          <w:p>
            <w:pPr>
              <w:pStyle w:val="Style15"/>
              <w:keepNext w:val="0"/>
              <w:keepLines w:val="0"/>
              <w:widowControl w:val="0"/>
              <w:shd w:val="clear" w:color="auto" w:fill="auto"/>
              <w:tabs>
                <w:tab w:pos="504" w:val="left"/>
              </w:tabs>
              <w:bidi w:val="0"/>
              <w:spacing w:before="0" w:after="0" w:line="240" w:lineRule="auto"/>
              <w:ind w:left="0" w:right="0" w:firstLine="0"/>
              <w:jc w:val="left"/>
              <w:rPr>
                <w:sz w:val="11"/>
                <w:szCs w:val="11"/>
              </w:rPr>
            </w:pPr>
            <w:r>
              <w:rPr>
                <w:b/>
                <w:bCs/>
                <w:color w:val="252525"/>
                <w:spacing w:val="0"/>
                <w:w w:val="100"/>
                <w:position w:val="0"/>
                <w:sz w:val="11"/>
                <w:szCs w:val="11"/>
                <w:shd w:val="clear" w:color="auto" w:fill="auto"/>
                <w:lang w:val="ru-RU" w:eastAsia="ru-RU" w:bidi="ru-RU"/>
              </w:rPr>
              <w:t>ЗмК</w:t>
              <w:tab/>
              <w:t>документооборота ФАС России</w:t>
            </w:r>
          </w:p>
        </w:tc>
        <w:tc>
          <w:tcPr>
            <w:gridSpan w:val="2"/>
            <w:tcBorders>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А.В. Басангова</w:t>
            </w:r>
          </w:p>
        </w:tc>
      </w:tr>
      <w:tr>
        <w:trPr>
          <w:trHeight w:val="125" w:hRule="exact"/>
        </w:trPr>
        <w:tc>
          <w:tcPr>
            <w:gridSpan w:val="2"/>
            <w:tcBorders/>
            <w:shd w:val="clear" w:color="auto" w:fill="auto"/>
            <w:vAlign w:val="top"/>
          </w:tcPr>
          <w:p>
            <w:pPr>
              <w:widowControl w:val="0"/>
              <w:rPr>
                <w:sz w:val="10"/>
                <w:szCs w:val="10"/>
              </w:rPr>
            </w:pPr>
          </w:p>
        </w:tc>
        <w:tc>
          <w:tcPr>
            <w:tcBorders>
              <w:left w:val="single" w:sz="4"/>
            </w:tcBorders>
            <w:shd w:val="clear" w:color="auto" w:fill="000000"/>
            <w:vAlign w:val="top"/>
          </w:tcPr>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680"/>
              <w:jc w:val="left"/>
              <w:rPr>
                <w:sz w:val="11"/>
                <w:szCs w:val="11"/>
              </w:rPr>
            </w:pPr>
            <w:r>
              <w:rPr>
                <w:b/>
                <w:bCs/>
                <w:color w:val="E7E7E7"/>
                <w:spacing w:val="0"/>
                <w:w w:val="100"/>
                <w:position w:val="0"/>
                <w:sz w:val="11"/>
                <w:szCs w:val="11"/>
                <w:shd w:val="clear" w:color="auto" w:fill="auto"/>
                <w:lang w:val="ru-RU" w:eastAsia="ru-RU" w:bidi="ru-RU"/>
              </w:rPr>
              <w:t xml:space="preserve">СВЕДЕНИЯ О </w:t>
            </w:r>
            <w:r>
              <w:rPr>
                <w:b/>
                <w:bCs/>
                <w:color w:val="FFFFFF"/>
                <w:spacing w:val="0"/>
                <w:w w:val="100"/>
                <w:position w:val="0"/>
                <w:sz w:val="11"/>
                <w:szCs w:val="11"/>
                <w:shd w:val="clear" w:color="auto" w:fill="auto"/>
                <w:lang w:val="ru-RU" w:eastAsia="ru-RU" w:bidi="ru-RU"/>
              </w:rPr>
              <w:t xml:space="preserve">СЕРТИФИКАТЕ </w:t>
            </w:r>
            <w:r>
              <w:rPr>
                <w:b/>
                <w:bCs/>
                <w:color w:val="E7E7E7"/>
                <w:spacing w:val="0"/>
                <w:w w:val="100"/>
                <w:position w:val="0"/>
                <w:sz w:val="11"/>
                <w:szCs w:val="11"/>
                <w:shd w:val="clear" w:color="auto" w:fill="auto"/>
                <w:lang w:val="ru-RU" w:eastAsia="ru-RU" w:bidi="ru-RU"/>
              </w:rPr>
              <w:t>ЭП</w:t>
            </w:r>
          </w:p>
        </w:tc>
        <w:tc>
          <w:tcPr>
            <w:gridSpan w:val="2"/>
            <w:tcBorders>
              <w:left w:val="single" w:sz="4"/>
            </w:tcBorders>
            <w:shd w:val="clear" w:color="auto" w:fill="auto"/>
            <w:vAlign w:val="top"/>
          </w:tcPr>
          <w:p>
            <w:pPr>
              <w:widowControl w:val="0"/>
              <w:rPr>
                <w:sz w:val="10"/>
                <w:szCs w:val="10"/>
              </w:rPr>
            </w:pPr>
          </w:p>
        </w:tc>
      </w:tr>
      <w:tr>
        <w:trPr>
          <w:trHeight w:val="926" w:hRule="exact"/>
        </w:trPr>
        <w:tc>
          <w:tcPr>
            <w:tcBorders/>
            <w:shd w:val="clear" w:color="auto" w:fill="auto"/>
            <w:vAlign w:val="top"/>
          </w:tcPr>
          <w:p>
            <w:pPr>
              <w:widowControl w:val="0"/>
              <w:rPr>
                <w:sz w:val="10"/>
                <w:szCs w:val="10"/>
              </w:rPr>
            </w:pPr>
          </w:p>
        </w:tc>
        <w:tc>
          <w:tcPr>
            <w:gridSpan w:val="3"/>
            <w:tcBorders>
              <w:left w:val="single" w:sz="4"/>
            </w:tcBorders>
            <w:shd w:val="clear" w:color="auto" w:fill="auto"/>
            <w:vAlign w:val="top"/>
          </w:tcPr>
          <w:p>
            <w:pPr>
              <w:pStyle w:val="Style15"/>
              <w:keepNext w:val="0"/>
              <w:keepLines w:val="0"/>
              <w:widowControl w:val="0"/>
              <w:shd w:val="clear" w:color="auto" w:fill="auto"/>
              <w:bidi w:val="0"/>
              <w:spacing w:before="80" w:after="0" w:line="240" w:lineRule="auto"/>
              <w:ind w:left="0" w:right="0" w:firstLine="0"/>
              <w:jc w:val="left"/>
              <w:rPr>
                <w:sz w:val="12"/>
                <w:szCs w:val="12"/>
              </w:rPr>
            </w:pPr>
            <w:r>
              <w:rPr>
                <w:rFonts w:ascii="Arial" w:eastAsia="Arial" w:hAnsi="Arial" w:cs="Arial"/>
                <w:color w:val="6E6E6E"/>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2"/>
                <w:szCs w:val="12"/>
                <w:shd w:val="clear" w:color="auto" w:fill="auto"/>
                <w:lang w:val="ru-RU" w:eastAsia="ru-RU" w:bidi="ru-RU"/>
              </w:rPr>
              <w:t>Басангова Амрхн Валерьевна</w:t>
            </w:r>
          </w:p>
          <w:p>
            <w:pPr>
              <w:pStyle w:val="Style1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A3A3A"/>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A3A3A"/>
                <w:spacing w:val="0"/>
                <w:w w:val="100"/>
                <w:position w:val="0"/>
                <w:sz w:val="12"/>
                <w:szCs w:val="12"/>
                <w:shd w:val="clear" w:color="auto" w:fill="auto"/>
                <w:lang w:val="ru-RU" w:eastAsia="ru-RU" w:bidi="ru-RU"/>
              </w:rPr>
              <w:t>00А2541С8136ЕЕААС13ВВ2ОС5172344438</w:t>
            </w:r>
          </w:p>
          <w:p>
            <w:pPr>
              <w:pStyle w:val="Style1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E6E6E"/>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3A3A3A"/>
                <w:spacing w:val="0"/>
                <w:w w:val="100"/>
                <w:position w:val="0"/>
                <w:sz w:val="12"/>
                <w:szCs w:val="12"/>
                <w:shd w:val="clear" w:color="auto" w:fill="auto"/>
                <w:lang w:val="ru-RU" w:eastAsia="ru-RU" w:bidi="ru-RU"/>
              </w:rPr>
              <w:t xml:space="preserve">18.09.2023 по </w:t>
            </w:r>
            <w:r>
              <w:rPr>
                <w:rFonts w:ascii="Arial" w:eastAsia="Arial" w:hAnsi="Arial" w:cs="Arial"/>
                <w:color w:val="6E6E6E"/>
                <w:spacing w:val="0"/>
                <w:w w:val="100"/>
                <w:position w:val="0"/>
                <w:sz w:val="12"/>
                <w:szCs w:val="12"/>
                <w:shd w:val="clear" w:color="auto" w:fill="auto"/>
                <w:lang w:val="ru-RU" w:eastAsia="ru-RU" w:bidi="ru-RU"/>
              </w:rPr>
              <w:t>11.12.2024</w:t>
            </w:r>
          </w:p>
        </w:tc>
        <w:tc>
          <w:tcPr>
            <w:tcBorders>
              <w:left w:val="single" w:sz="4"/>
            </w:tcBorders>
            <w:shd w:val="clear" w:color="auto" w:fill="auto"/>
            <w:vAlign w:val="top"/>
          </w:tcPr>
          <w:p>
            <w:pPr>
              <w:widowControl w:val="0"/>
              <w:rPr>
                <w:sz w:val="10"/>
                <w:szCs w:val="10"/>
              </w:rPr>
            </w:pPr>
          </w:p>
        </w:tc>
      </w:tr>
      <w:tr>
        <w:trPr>
          <w:trHeight w:val="658" w:hRule="exact"/>
        </w:trPr>
        <w:tc>
          <w:tcPr>
            <w:vMerge w:val="restart"/>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2024-1979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600" w:right="0" w:firstLine="0"/>
              <w:jc w:val="left"/>
              <w:rPr>
                <w:sz w:val="11"/>
                <w:szCs w:val="11"/>
              </w:rPr>
            </w:pPr>
            <w:r>
              <w:rPr>
                <w:b/>
                <w:bCs/>
                <w:color w:val="252525"/>
                <w:spacing w:val="0"/>
                <w:w w:val="100"/>
                <w:position w:val="0"/>
                <w:sz w:val="11"/>
                <w:szCs w:val="11"/>
                <w:shd w:val="clear" w:color="auto" w:fill="auto"/>
                <w:lang w:val="ru-RU" w:eastAsia="ru-RU" w:bidi="ru-RU"/>
              </w:rPr>
              <w:t>Подлинник электронного документа, подписанного ЭП, хранится в системе электронного</w:t>
            </w:r>
          </w:p>
          <w:p>
            <w:pPr>
              <w:pStyle w:val="Style15"/>
              <w:keepNext w:val="0"/>
              <w:keepLines w:val="0"/>
              <w:widowControl w:val="0"/>
              <w:shd w:val="clear" w:color="auto" w:fill="auto"/>
              <w:tabs>
                <w:tab w:pos="504" w:val="left"/>
              </w:tabs>
              <w:bidi w:val="0"/>
              <w:spacing w:before="0" w:after="0" w:line="240" w:lineRule="auto"/>
              <w:ind w:left="0" w:right="0" w:firstLine="0"/>
              <w:jc w:val="left"/>
              <w:rPr>
                <w:sz w:val="11"/>
                <w:szCs w:val="11"/>
              </w:rPr>
            </w:pPr>
            <w:r>
              <w:rPr>
                <w:b/>
                <w:bCs/>
                <w:color w:val="252525"/>
                <w:spacing w:val="0"/>
                <w:w w:val="100"/>
                <w:position w:val="0"/>
                <w:sz w:val="11"/>
                <w:szCs w:val="11"/>
                <w:shd w:val="clear" w:color="auto" w:fill="auto"/>
                <w:lang w:val="ru-RU" w:eastAsia="ru-RU" w:bidi="ru-RU"/>
              </w:rPr>
              <w:t>ЗмЕ.</w:t>
              <w:tab/>
              <w:t>документооборота ФАС России</w:t>
            </w:r>
          </w:p>
        </w:tc>
        <w:tc>
          <w:tcPr>
            <w:tcBorders>
              <w:top w:val="single" w:sz="4"/>
              <w:left w:val="single" w:sz="4"/>
            </w:tcBorders>
            <w:shd w:val="clear" w:color="auto" w:fill="auto"/>
            <w:vAlign w:val="top"/>
          </w:tcPr>
          <w:p>
            <w:pPr>
              <w:widowControl w:val="0"/>
              <w:rPr>
                <w:sz w:val="10"/>
                <w:szCs w:val="10"/>
              </w:rPr>
            </w:pPr>
          </w:p>
        </w:tc>
        <w:tc>
          <w:tcPr>
            <w:vMerge w:val="restart"/>
            <w:tcBorders>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А.М. Мархадаева</w:t>
            </w:r>
          </w:p>
        </w:tc>
      </w:tr>
      <w:tr>
        <w:trPr>
          <w:trHeight w:val="144" w:hRule="exact"/>
        </w:trPr>
        <w:tc>
          <w:tcPr>
            <w:vMerge/>
            <w:tcBorders/>
            <w:shd w:val="clear" w:color="auto" w:fill="auto"/>
            <w:vAlign w:val="center"/>
          </w:tcPr>
          <w:p>
            <w:pPr/>
          </w:p>
        </w:tc>
        <w:tc>
          <w:tcPr>
            <w:tcBorders>
              <w:left w:val="single" w:sz="4"/>
            </w:tcBorders>
            <w:shd w:val="clear" w:color="auto" w:fill="auto"/>
            <w:vAlign w:val="top"/>
          </w:tcPr>
          <w:p>
            <w:pPr>
              <w:widowControl w:val="0"/>
              <w:rPr>
                <w:sz w:val="10"/>
                <w:szCs w:val="10"/>
              </w:rPr>
            </w:pPr>
          </w:p>
        </w:tc>
        <w:tc>
          <w:tcPr>
            <w:tcBorders>
              <w:left w:val="single" w:sz="4"/>
            </w:tcBorders>
            <w:shd w:val="clear" w:color="auto" w:fill="000000"/>
            <w:vAlign w:val="top"/>
          </w:tcPr>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68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c>
        <w:tc>
          <w:tcPr>
            <w:tcBorders>
              <w:left w:val="single" w:sz="4"/>
            </w:tcBorders>
            <w:shd w:val="clear" w:color="auto" w:fill="auto"/>
            <w:vAlign w:val="top"/>
          </w:tcPr>
          <w:p>
            <w:pPr>
              <w:widowControl w:val="0"/>
              <w:rPr>
                <w:sz w:val="10"/>
                <w:szCs w:val="10"/>
              </w:rPr>
            </w:pPr>
          </w:p>
        </w:tc>
        <w:tc>
          <w:tcPr>
            <w:vMerge/>
            <w:tcBorders>
              <w:left w:val="single" w:sz="4"/>
            </w:tcBorders>
            <w:shd w:val="clear" w:color="auto" w:fill="auto"/>
            <w:vAlign w:val="top"/>
          </w:tcPr>
          <w:p>
            <w:pPr/>
          </w:p>
        </w:tc>
      </w:tr>
      <w:tr>
        <w:trPr>
          <w:trHeight w:val="643" w:hRule="exact"/>
        </w:trPr>
        <w:tc>
          <w:tcPr>
            <w:vMerge/>
            <w:tcBorders/>
            <w:shd w:val="clear" w:color="auto" w:fill="auto"/>
            <w:vAlign w:val="center"/>
          </w:tcPr>
          <w:p>
            <w:pPr/>
          </w:p>
        </w:tc>
        <w:tc>
          <w:tcPr>
            <w:gridSpan w:val="3"/>
            <w:tcBorders>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E6E6E"/>
                <w:spacing w:val="0"/>
                <w:w w:val="100"/>
                <w:position w:val="0"/>
                <w:sz w:val="12"/>
                <w:szCs w:val="12"/>
                <w:shd w:val="clear" w:color="auto" w:fill="auto"/>
                <w:lang w:val="ru-RU" w:eastAsia="ru-RU" w:bidi="ru-RU"/>
              </w:rPr>
              <w:t xml:space="preserve">Кому выдан: </w:t>
            </w:r>
            <w:r>
              <w:rPr>
                <w:rFonts w:ascii="Arial" w:eastAsia="Arial" w:hAnsi="Arial" w:cs="Arial"/>
                <w:color w:val="000000"/>
                <w:spacing w:val="0"/>
                <w:w w:val="100"/>
                <w:position w:val="0"/>
                <w:sz w:val="12"/>
                <w:szCs w:val="12"/>
                <w:shd w:val="clear" w:color="auto" w:fill="auto"/>
                <w:lang w:val="ru-RU" w:eastAsia="ru-RU" w:bidi="ru-RU"/>
              </w:rPr>
              <w:t>Мархадаева Анна Михайловна</w:t>
            </w:r>
          </w:p>
          <w:p>
            <w:pPr>
              <w:pStyle w:val="Style1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A3A3A"/>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A3A3A"/>
                <w:spacing w:val="0"/>
                <w:w w:val="100"/>
                <w:position w:val="0"/>
                <w:sz w:val="12"/>
                <w:szCs w:val="12"/>
                <w:shd w:val="clear" w:color="auto" w:fill="auto"/>
                <w:lang w:val="ru-RU" w:eastAsia="ru-RU" w:bidi="ru-RU"/>
              </w:rPr>
              <w:t>00ОАС29149ВА79628ЭА34А2Е24ЭС6О02С</w:t>
            </w:r>
            <w:r>
              <w:rPr>
                <w:rFonts w:ascii="Arial" w:eastAsia="Arial" w:hAnsi="Arial" w:cs="Arial"/>
                <w:color w:val="3A3A3A"/>
                <w:spacing w:val="0"/>
                <w:w w:val="100"/>
                <w:position w:val="0"/>
                <w:sz w:val="12"/>
                <w:szCs w:val="12"/>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E6E6E"/>
                <w:spacing w:val="0"/>
                <w:w w:val="100"/>
                <w:position w:val="0"/>
                <w:sz w:val="12"/>
                <w:szCs w:val="12"/>
                <w:shd w:val="clear" w:color="auto" w:fill="auto"/>
                <w:lang w:val="ru-RU" w:eastAsia="ru-RU" w:bidi="ru-RU"/>
              </w:rPr>
              <w:t xml:space="preserve">Действителен </w:t>
            </w:r>
            <w:r>
              <w:rPr>
                <w:rFonts w:ascii="Arial" w:eastAsia="Arial" w:hAnsi="Arial" w:cs="Arial"/>
                <w:color w:val="3A3A3A"/>
                <w:spacing w:val="0"/>
                <w:w w:val="100"/>
                <w:position w:val="0"/>
                <w:sz w:val="12"/>
                <w:szCs w:val="12"/>
                <w:shd w:val="clear" w:color="auto" w:fill="auto"/>
                <w:lang w:val="ru-RU" w:eastAsia="ru-RU" w:bidi="ru-RU"/>
              </w:rPr>
              <w:t xml:space="preserve">с 14.03.2024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6E6E6E"/>
                <w:spacing w:val="0"/>
                <w:w w:val="100"/>
                <w:position w:val="0"/>
                <w:sz w:val="12"/>
                <w:szCs w:val="12"/>
                <w:shd w:val="clear" w:color="auto" w:fill="auto"/>
                <w:lang w:val="ru-RU" w:eastAsia="ru-RU" w:bidi="ru-RU"/>
              </w:rPr>
              <w:t>07.06.2025</w:t>
            </w:r>
          </w:p>
        </w:tc>
        <w:tc>
          <w:tcPr>
            <w:vMerge/>
            <w:tcBorders>
              <w:left w:val="single" w:sz="4"/>
            </w:tcBorders>
            <w:shd w:val="clear" w:color="auto" w:fill="auto"/>
            <w:vAlign w:val="top"/>
          </w:tcPr>
          <w:p>
            <w:pPr/>
          </w:p>
        </w:tc>
      </w:tr>
    </w:tbl>
    <w:p>
      <w:pPr>
        <w:sectPr>
          <w:footerReference w:type="default" r:id="rId11"/>
          <w:footnotePr>
            <w:pos w:val="pageBottom"/>
            <w:numFmt w:val="decimal"/>
            <w:numRestart w:val="continuous"/>
          </w:footnotePr>
          <w:pgSz w:w="11900" w:h="16840"/>
          <w:pgMar w:top="1114" w:right="541" w:bottom="132" w:left="1077" w:header="686" w:footer="3" w:gutter="0"/>
          <w:cols w:space="720"/>
          <w:noEndnote/>
          <w:rtlGutter w:val="0"/>
          <w:docGrid w:linePitch="360"/>
        </w:sectPr>
      </w:pPr>
    </w:p>
    <w:p>
      <w:pPr>
        <w:pStyle w:val="Style8"/>
        <w:keepNext w:val="0"/>
        <w:keepLines w:val="0"/>
        <w:widowControl w:val="0"/>
        <w:shd w:val="clear" w:color="auto" w:fill="auto"/>
        <w:bidi w:val="0"/>
        <w:spacing w:before="0" w:after="0" w:line="276" w:lineRule="auto"/>
        <w:ind w:left="0" w:right="0" w:firstLine="88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sectPr>
      <w:footerReference w:type="default" r:id="rId12"/>
      <w:footnotePr>
        <w:pos w:val="pageBottom"/>
        <w:numFmt w:val="decimal"/>
        <w:numRestart w:val="continuous"/>
      </w:footnotePr>
      <w:pgSz w:w="11900" w:h="16840"/>
      <w:pgMar w:top="3015" w:right="551" w:bottom="3015" w:left="1097" w:header="2587"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10016490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w:t>
                          </w:r>
                        </w:p>
                      </w:txbxContent>
                    </wps:txbx>
                    <wps:bodyPr wrap="none" lIns="0" tIns="0" rIns="0" bIns="0">
                      <a:spAutoFit/>
                    </wps:bodyPr>
                  </wps:wsp>
                </a:graphicData>
              </a:graphic>
            </wp:anchor>
          </w:drawing>
        </mc:Choice>
        <mc:Fallback>
          <w:pict>
            <v:shape id="_x0000_s1033" type="#_x0000_t202" style="position:absolute;margin-left:56.800000000000004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10022840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w:t>
                          </w:r>
                        </w:p>
                      </w:txbxContent>
                    </wps:txbx>
                    <wps:bodyPr wrap="none" lIns="0" tIns="0" rIns="0" bIns="0">
                      <a:spAutoFit/>
                    </wps:bodyPr>
                  </wps:wsp>
                </a:graphicData>
              </a:graphic>
            </wp:anchor>
          </w:drawing>
        </mc:Choice>
        <mc:Fallback>
          <w:pict>
            <v:shape id="_x0000_s1035" type="#_x0000_t202" style="position:absolute;margin-left:56.700000000000003pt;margin-top:789.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10016490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w:t>
                          </w:r>
                        </w:p>
                      </w:txbxContent>
                    </wps:txbx>
                    <wps:bodyPr wrap="none" lIns="0" tIns="0" rIns="0" bIns="0">
                      <a:spAutoFit/>
                    </wps:bodyPr>
                  </wps:wsp>
                </a:graphicData>
              </a:graphic>
            </wp:anchor>
          </w:drawing>
        </mc:Choice>
        <mc:Fallback>
          <w:pict>
            <v:shape id="_x0000_s1037" type="#_x0000_t202" style="position:absolute;margin-left:56.800000000000004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Другое_"/>
    <w:basedOn w:val="DefaultParagraphFont"/>
    <w:link w:val="Style15"/>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Основной текст (3)"/>
    <w:basedOn w:val="Normal"/>
    <w:link w:val="CharStyle6"/>
    <w:pPr>
      <w:widowControl w:val="0"/>
      <w:shd w:val="clear" w:color="auto" w:fill="auto"/>
      <w:spacing w:after="35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Другое"/>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