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0" distL="114300" distR="114300" simplePos="0" relativeHeight="125829378" behindDoc="0" locked="0" layoutInCell="1" allowOverlap="1">
            <wp:simplePos x="0" y="0"/>
            <wp:positionH relativeFrom="page">
              <wp:posOffset>3545205</wp:posOffset>
            </wp:positionH>
            <wp:positionV relativeFrom="paragraph">
              <wp:posOffset>130810</wp:posOffset>
            </wp:positionV>
            <wp:extent cx="585470" cy="652145"/>
            <wp:wrapSquare wrapText="bothSides"/>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85470" cy="652145"/>
                    </a:xfrm>
                    <a:prstGeom prst="rect"/>
                  </pic:spPr>
                </pic:pic>
              </a:graphicData>
            </a:graphic>
          </wp:anchor>
        </w:drawing>
      </w:r>
    </w:p>
    <w:p>
      <w:pPr>
        <w:pStyle w:val="Style2"/>
        <w:keepNext w:val="0"/>
        <w:keepLines w:val="0"/>
        <w:widowControl w:val="0"/>
        <w:shd w:val="clear" w:color="auto" w:fill="auto"/>
        <w:bidi w:val="0"/>
        <w:spacing w:before="0" w:after="0" w:line="240" w:lineRule="auto"/>
        <w:ind w:left="0" w:right="0" w:firstLine="0"/>
        <w:jc w:val="center"/>
      </w:pPr>
      <w:r>
        <w:rPr>
          <w:spacing w:val="0"/>
          <w:w w:val="100"/>
          <w:position w:val="0"/>
          <w:sz w:val="24"/>
          <w:szCs w:val="24"/>
          <w:shd w:val="clear" w:color="auto" w:fill="auto"/>
          <w:lang w:val="ru-RU" w:eastAsia="ru-RU" w:bidi="ru-RU"/>
        </w:rPr>
        <w:t>ФЕДЕРАЛЬНАЯ</w:t>
      </w:r>
    </w:p>
    <w:p>
      <w:pPr>
        <w:pStyle w:val="Style2"/>
        <w:keepNext w:val="0"/>
        <w:keepLines w:val="0"/>
        <w:widowControl w:val="0"/>
        <w:shd w:val="clear" w:color="auto" w:fill="auto"/>
        <w:bidi w:val="0"/>
        <w:spacing w:before="0" w:line="240" w:lineRule="auto"/>
        <w:ind w:left="-180" w:right="0" w:firstLine="0"/>
        <w:jc w:val="center"/>
      </w:pPr>
      <w:r>
        <w:rPr>
          <w:spacing w:val="0"/>
          <w:w w:val="100"/>
          <w:position w:val="0"/>
          <w:sz w:val="24"/>
          <w:szCs w:val="24"/>
          <w:shd w:val="clear" w:color="auto" w:fill="auto"/>
          <w:lang w:val="ru-RU" w:eastAsia="ru-RU" w:bidi="ru-RU"/>
        </w:rPr>
        <w:t>АНТИМОНОПОЛЬНАЯ СЛУЖБА</w:t>
      </w:r>
    </w:p>
    <w:p>
      <w:pPr>
        <w:pStyle w:val="Style2"/>
        <w:keepNext w:val="0"/>
        <w:keepLines w:val="0"/>
        <w:widowControl w:val="0"/>
        <w:shd w:val="clear" w:color="auto" w:fill="auto"/>
        <w:bidi w:val="0"/>
        <w:spacing w:before="0" w:line="240" w:lineRule="auto"/>
        <w:ind w:left="0" w:right="0" w:firstLine="0"/>
        <w:jc w:val="center"/>
      </w:pPr>
      <w:r>
        <w:rPr>
          <w:spacing w:val="0"/>
          <w:w w:val="100"/>
          <w:position w:val="0"/>
          <w:sz w:val="24"/>
          <w:szCs w:val="24"/>
          <w:shd w:val="clear" w:color="auto" w:fill="auto"/>
          <w:lang w:val="ru-RU" w:eastAsia="ru-RU" w:bidi="ru-RU"/>
        </w:rPr>
        <w:t>УПРАВЛЕНИЕ</w:t>
        <w:br/>
        <w:t>Федеральной антимонопольной</w:t>
        <w:br/>
        <w:t>службы</w:t>
        <w:br/>
        <w:t>по Республике Татарстан</w:t>
      </w:r>
    </w:p>
    <w:p>
      <w:pPr>
        <w:pStyle w:val="Style4"/>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ул. Московская, д. 55, г. Казань, 420021</w:t>
        <w:br/>
        <w:t>тел.: (843) 236-89-22, факс (843) 238-19-46</w:t>
        <w:br/>
        <w:t>е-тай: 1о16@(а8.йоу.ги</w:t>
      </w:r>
    </w:p>
    <w:p>
      <w:pPr>
        <w:pStyle w:val="Style2"/>
        <w:keepNext w:val="0"/>
        <w:keepLines w:val="0"/>
        <w:widowControl w:val="0"/>
        <w:shd w:val="clear" w:color="auto" w:fill="auto"/>
        <w:bidi w:val="0"/>
        <w:spacing w:before="0" w:line="240" w:lineRule="auto"/>
        <w:ind w:left="0" w:right="0" w:firstLine="0"/>
        <w:jc w:val="center"/>
      </w:pPr>
      <w:r>
        <w:rPr>
          <w:spacing w:val="0"/>
          <w:w w:val="100"/>
          <w:position w:val="0"/>
          <w:sz w:val="24"/>
          <w:szCs w:val="24"/>
          <w:shd w:val="clear" w:color="auto" w:fill="auto"/>
          <w:lang w:val="ru-RU" w:eastAsia="ru-RU" w:bidi="ru-RU"/>
        </w:rPr>
        <w:t>МОНОПОЛИЯ!"© КАРШЫ</w:t>
        <w:br/>
        <w:t>ФЕДЕРАЛЬ ХЕЗМЭТ</w:t>
      </w:r>
    </w:p>
    <w:p>
      <w:pPr>
        <w:pStyle w:val="Style2"/>
        <w:keepNext w:val="0"/>
        <w:keepLines w:val="0"/>
        <w:widowControl w:val="0"/>
        <w:shd w:val="clear" w:color="auto" w:fill="auto"/>
        <w:bidi w:val="0"/>
        <w:spacing w:before="0" w:line="240" w:lineRule="auto"/>
        <w:ind w:left="0" w:right="0" w:firstLine="0"/>
        <w:jc w:val="center"/>
      </w:pPr>
      <w:r>
        <w:rPr>
          <w:spacing w:val="0"/>
          <w:w w:val="100"/>
          <w:position w:val="0"/>
          <w:sz w:val="24"/>
          <w:szCs w:val="24"/>
          <w:shd w:val="clear" w:color="auto" w:fill="auto"/>
          <w:lang w:val="ru-RU" w:eastAsia="ru-RU" w:bidi="ru-RU"/>
        </w:rPr>
        <w:t>Монополиягэ каршы</w:t>
        <w:br/>
        <w:t>Федераль хезмэтнец</w:t>
        <w:br/>
        <w:t>Татарстан Республикасы</w:t>
        <w:br/>
        <w:t>буенча идарэсе</w:t>
      </w:r>
    </w:p>
    <w:p>
      <w:pPr>
        <w:pStyle w:val="Style4"/>
        <w:keepNext w:val="0"/>
        <w:keepLines w:val="0"/>
        <w:widowControl w:val="0"/>
        <w:shd w:val="clear" w:color="auto" w:fill="auto"/>
        <w:bidi w:val="0"/>
        <w:spacing w:before="0" w:after="0"/>
        <w:ind w:left="0" w:right="0" w:firstLine="0"/>
        <w:jc w:val="center"/>
        <w:sectPr>
          <w:headerReference w:type="default" r:id="rId7"/>
          <w:footerReference w:type="default" r:id="rId8"/>
          <w:headerReference w:type="first" r:id="rId9"/>
          <w:footerReference w:type="first" r:id="rId10"/>
          <w:footnotePr>
            <w:pos w:val="pageBottom"/>
            <w:numFmt w:val="decimal"/>
            <w:numRestart w:val="continuous"/>
          </w:footnotePr>
          <w:pgSz w:w="11900" w:h="16840"/>
          <w:pgMar w:top="996" w:right="1421" w:bottom="1440" w:left="1148" w:header="0" w:footer="3" w:gutter="0"/>
          <w:pgNumType w:start="1"/>
          <w:cols w:num="2" w:space="720" w:equalWidth="0">
            <w:col w:w="3706" w:space="2419"/>
            <w:col w:w="3206"/>
          </w:cols>
          <w:noEndnote/>
          <w:titlePg/>
          <w:rtlGutter w:val="0"/>
          <w:docGrid w:linePitch="360"/>
        </w:sectPr>
      </w:pPr>
      <w:r>
        <w:rPr>
          <w:spacing w:val="0"/>
          <w:w w:val="100"/>
          <w:position w:val="0"/>
          <w:shd w:val="clear" w:color="auto" w:fill="auto"/>
          <w:lang w:val="ru-RU" w:eastAsia="ru-RU" w:bidi="ru-RU"/>
        </w:rPr>
        <w:t>Мэскэу ур., 55 йорг, Казан шэЬэре, 420021</w:t>
        <w:br/>
        <w:t>тел.: (843) 236-89-22, факс (843) 238-19-46</w:t>
        <w:br/>
        <w:t>е-таН: Ю16@Га8.§оу.ги</w:t>
      </w:r>
    </w:p>
    <w:p>
      <w:pPr>
        <w:widowControl w:val="0"/>
        <w:spacing w:line="240" w:lineRule="exact"/>
        <w:rPr>
          <w:sz w:val="19"/>
          <w:szCs w:val="19"/>
        </w:rPr>
      </w:pPr>
    </w:p>
    <w:p>
      <w:pPr>
        <w:widowControl w:val="0"/>
        <w:spacing w:line="240" w:lineRule="exact"/>
        <w:rPr>
          <w:sz w:val="19"/>
          <w:szCs w:val="19"/>
        </w:rPr>
      </w:pPr>
    </w:p>
    <w:p>
      <w:pPr>
        <w:widowControl w:val="0"/>
        <w:spacing w:before="35" w:after="35" w:line="240" w:lineRule="exact"/>
        <w:rPr>
          <w:sz w:val="19"/>
          <w:szCs w:val="19"/>
        </w:rPr>
      </w:pPr>
    </w:p>
    <w:p>
      <w:pPr>
        <w:widowControl w:val="0"/>
        <w:spacing w:line="1" w:lineRule="exact"/>
        <w:sectPr>
          <w:footnotePr>
            <w:pos w:val="pageBottom"/>
            <w:numFmt w:val="decimal"/>
            <w:numRestart w:val="continuous"/>
          </w:footnotePr>
          <w:type w:val="continuous"/>
          <w:pgSz w:w="11900" w:h="16840"/>
          <w:pgMar w:top="1145" w:right="0" w:bottom="1224" w:left="0" w:header="0" w:footer="3" w:gutter="0"/>
          <w:cols w:space="720"/>
          <w:noEndnote/>
          <w:rtlGutter w:val="0"/>
          <w:docGrid w:linePitch="360"/>
        </w:sectPr>
      </w:pPr>
    </w:p>
    <w:p>
      <w:pPr>
        <w:widowControl w:val="0"/>
        <w:spacing w:line="1" w:lineRule="exact"/>
      </w:pPr>
      <w:r>
        <mc:AlternateContent>
          <mc:Choice Requires="wps">
            <w:drawing>
              <wp:anchor distT="0" distB="0" distL="114300" distR="114300" simplePos="0" relativeHeight="125829379" behindDoc="0" locked="0" layoutInCell="1" allowOverlap="1">
                <wp:simplePos x="0" y="0"/>
                <wp:positionH relativeFrom="page">
                  <wp:posOffset>659130</wp:posOffset>
                </wp:positionH>
                <wp:positionV relativeFrom="paragraph">
                  <wp:posOffset>12700</wp:posOffset>
                </wp:positionV>
                <wp:extent cx="2538730" cy="170815"/>
                <wp:wrapSquare wrapText="right"/>
                <wp:docPr id="7" name="Shape 7"/>
                <a:graphic xmlns:a="http://schemas.openxmlformats.org/drawingml/2006/main">
                  <a:graphicData uri="http://schemas.microsoft.com/office/word/2010/wordprocessingShape">
                    <wps:wsp>
                      <wps:cNvSpPr txBox="1"/>
                      <wps:spPr>
                        <a:xfrm>
                          <a:ext cx="2538730" cy="170815"/>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pPr>
                            <w:r>
                              <w:rPr>
                                <w:color w:val="6E92CB"/>
                                <w:spacing w:val="0"/>
                                <w:w w:val="100"/>
                                <w:position w:val="0"/>
                                <w:shd w:val="clear" w:color="auto" w:fill="auto"/>
                                <w:lang w:val="ru-RU" w:eastAsia="ru-RU" w:bidi="ru-RU"/>
                              </w:rPr>
                              <w:t xml:space="preserve">На </w:t>
                            </w:r>
                            <w:r>
                              <w:rPr>
                                <w:color w:val="4D6690"/>
                                <w:spacing w:val="0"/>
                                <w:w w:val="100"/>
                                <w:position w:val="0"/>
                                <w:shd w:val="clear" w:color="auto" w:fill="auto"/>
                                <w:lang w:val="ru-RU" w:eastAsia="ru-RU" w:bidi="ru-RU"/>
                              </w:rPr>
                              <w:t>№</w:t>
                            </w:r>
                            <w:r>
                              <w:rPr>
                                <w:color w:val="6E92CB"/>
                                <w:spacing w:val="0"/>
                                <w:w w:val="100"/>
                                <w:position w:val="0"/>
                                <w:shd w:val="clear" w:color="auto" w:fill="auto"/>
                                <w:lang w:val="ru-RU" w:eastAsia="ru-RU" w:bidi="ru-RU"/>
                              </w:rPr>
                              <w:t>от</w:t>
                            </w:r>
                          </w:p>
                        </w:txbxContent>
                      </wps:txbx>
                      <wps:bodyPr wrap="none" lIns="0" tIns="0" rIns="0" bIns="0">
                        <a:noAutoFit/>
                      </wps:bodyPr>
                    </wps:wsp>
                  </a:graphicData>
                </a:graphic>
              </wp:anchor>
            </w:drawing>
          </mc:Choice>
          <mc:Fallback>
            <w:pict>
              <v:shape id="_x0000_s1033" type="#_x0000_t202" style="position:absolute;margin-left:51.899999999999999pt;margin-top:1.pt;width:199.90000000000001pt;height:13.450000000000001pt;z-index:-125829374;mso-wrap-distance-left:9.pt;mso-wrap-distance-right:9.pt;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left"/>
                      </w:pPr>
                      <w:r>
                        <w:rPr>
                          <w:color w:val="6E92CB"/>
                          <w:spacing w:val="0"/>
                          <w:w w:val="100"/>
                          <w:position w:val="0"/>
                          <w:shd w:val="clear" w:color="auto" w:fill="auto"/>
                          <w:lang w:val="ru-RU" w:eastAsia="ru-RU" w:bidi="ru-RU"/>
                        </w:rPr>
                        <w:t xml:space="preserve">На </w:t>
                      </w:r>
                      <w:r>
                        <w:rPr>
                          <w:color w:val="4D6690"/>
                          <w:spacing w:val="0"/>
                          <w:w w:val="100"/>
                          <w:position w:val="0"/>
                          <w:shd w:val="clear" w:color="auto" w:fill="auto"/>
                          <w:lang w:val="ru-RU" w:eastAsia="ru-RU" w:bidi="ru-RU"/>
                        </w:rPr>
                        <w:t>№</w:t>
                      </w:r>
                      <w:r>
                        <w:rPr>
                          <w:color w:val="6E92CB"/>
                          <w:spacing w:val="0"/>
                          <w:w w:val="100"/>
                          <w:position w:val="0"/>
                          <w:shd w:val="clear" w:color="auto" w:fill="auto"/>
                          <w:lang w:val="ru-RU" w:eastAsia="ru-RU" w:bidi="ru-RU"/>
                        </w:rPr>
                        <w:t>от</w:t>
                      </w:r>
                    </w:p>
                  </w:txbxContent>
                </v:textbox>
                <w10:wrap type="square" side="right" anchorx="page"/>
              </v:shape>
            </w:pict>
          </mc:Fallback>
        </mc:AlternateContent>
      </w:r>
    </w:p>
    <w:p>
      <w:pPr>
        <w:pStyle w:val="Style10"/>
        <w:keepNext w:val="0"/>
        <w:keepLines w:val="0"/>
        <w:widowControl w:val="0"/>
        <w:shd w:val="clear" w:color="auto" w:fill="auto"/>
        <w:bidi w:val="0"/>
        <w:spacing w:before="0" w:after="0" w:line="240" w:lineRule="auto"/>
        <w:ind w:left="1260" w:right="0" w:firstLine="0"/>
        <w:jc w:val="left"/>
      </w:pPr>
      <w:r>
        <w:rPr>
          <w:color w:val="000000"/>
          <w:spacing w:val="0"/>
          <w:w w:val="100"/>
          <w:position w:val="0"/>
          <w:shd w:val="clear" w:color="auto" w:fill="auto"/>
          <w:lang w:val="ru-RU" w:eastAsia="ru-RU" w:bidi="ru-RU"/>
        </w:rPr>
        <w:t>Заказчику:</w:t>
      </w:r>
    </w:p>
    <w:p>
      <w:pPr>
        <w:pStyle w:val="Style10"/>
        <w:keepNext w:val="0"/>
        <w:keepLines w:val="0"/>
        <w:widowControl w:val="0"/>
        <w:shd w:val="clear" w:color="auto" w:fill="auto"/>
        <w:bidi w:val="0"/>
        <w:spacing w:before="0" w:after="0" w:line="240" w:lineRule="auto"/>
        <w:ind w:left="5700" w:right="0" w:firstLine="0"/>
        <w:jc w:val="left"/>
      </w:pPr>
      <w:r>
        <w:rPr>
          <w:color w:val="000000"/>
          <w:spacing w:val="0"/>
          <w:w w:val="100"/>
          <w:position w:val="0"/>
          <w:shd w:val="clear" w:color="auto" w:fill="auto"/>
          <w:lang w:val="ru-RU" w:eastAsia="ru-RU" w:bidi="ru-RU"/>
        </w:rPr>
        <w:t>ФЕДЕРАЛЬНОЕ</w:t>
      </w:r>
    </w:p>
    <w:p>
      <w:pPr>
        <w:pStyle w:val="Style10"/>
        <w:keepNext w:val="0"/>
        <w:keepLines w:val="0"/>
        <w:widowControl w:val="0"/>
        <w:shd w:val="clear" w:color="auto" w:fill="auto"/>
        <w:bidi w:val="0"/>
        <w:spacing w:before="0" w:after="0" w:line="240" w:lineRule="auto"/>
        <w:ind w:left="5700" w:right="0" w:firstLine="0"/>
        <w:jc w:val="left"/>
      </w:pPr>
      <w:r>
        <w:rPr>
          <w:color w:val="000000"/>
          <w:spacing w:val="0"/>
          <w:w w:val="100"/>
          <w:position w:val="0"/>
          <w:shd w:val="clear" w:color="auto" w:fill="auto"/>
          <w:lang w:val="ru-RU" w:eastAsia="ru-RU" w:bidi="ru-RU"/>
        </w:rPr>
        <w:t>ГОСУДАРСТВЕННОЕ</w:t>
      </w:r>
    </w:p>
    <w:p>
      <w:pPr>
        <w:pStyle w:val="Style10"/>
        <w:keepNext w:val="0"/>
        <w:keepLines w:val="0"/>
        <w:widowControl w:val="0"/>
        <w:shd w:val="clear" w:color="auto" w:fill="auto"/>
        <w:bidi w:val="0"/>
        <w:spacing w:before="0" w:after="0" w:line="240" w:lineRule="auto"/>
        <w:ind w:left="5700" w:right="0" w:firstLine="0"/>
        <w:jc w:val="left"/>
      </w:pPr>
      <w:r>
        <w:rPr>
          <w:color w:val="000000"/>
          <w:spacing w:val="0"/>
          <w:w w:val="100"/>
          <w:position w:val="0"/>
          <w:shd w:val="clear" w:color="auto" w:fill="auto"/>
          <w:lang w:val="ru-RU" w:eastAsia="ru-RU" w:bidi="ru-RU"/>
        </w:rPr>
        <w:t>БЮДЖЕТНОЕ УЧРЕЖДЕНИЕ</w:t>
      </w:r>
    </w:p>
    <w:p>
      <w:pPr>
        <w:pStyle w:val="Style10"/>
        <w:keepNext w:val="0"/>
        <w:keepLines w:val="0"/>
        <w:widowControl w:val="0"/>
        <w:shd w:val="clear" w:color="auto" w:fill="auto"/>
        <w:tabs>
          <w:tab w:pos="7970" w:val="left"/>
        </w:tabs>
        <w:bidi w:val="0"/>
        <w:spacing w:before="0" w:after="0" w:line="240" w:lineRule="auto"/>
        <w:ind w:left="5700" w:right="0" w:firstLine="0"/>
        <w:jc w:val="left"/>
      </w:pPr>
      <w:r>
        <w:rPr>
          <w:color w:val="000000"/>
          <w:spacing w:val="0"/>
          <w:w w:val="100"/>
          <w:position w:val="0"/>
          <w:shd w:val="clear" w:color="auto" w:fill="auto"/>
          <w:lang w:val="ru-RU" w:eastAsia="ru-RU" w:bidi="ru-RU"/>
        </w:rPr>
        <w:t>НАУКИ</w:t>
        <w:tab/>
        <w:t>"ФЕДЕРАЛЬНЫЙ</w:t>
      </w:r>
    </w:p>
    <w:p>
      <w:pPr>
        <w:pStyle w:val="Style10"/>
        <w:keepNext w:val="0"/>
        <w:keepLines w:val="0"/>
        <w:widowControl w:val="0"/>
        <w:shd w:val="clear" w:color="auto" w:fill="auto"/>
        <w:bidi w:val="0"/>
        <w:spacing w:before="0" w:after="320" w:line="240" w:lineRule="auto"/>
        <w:ind w:left="5700" w:right="0" w:firstLine="20"/>
        <w:jc w:val="both"/>
      </w:pPr>
      <w:r>
        <w:rPr>
          <w:color w:val="000000"/>
          <w:spacing w:val="0"/>
          <w:w w:val="100"/>
          <w:position w:val="0"/>
          <w:shd w:val="clear" w:color="auto" w:fill="auto"/>
          <w:lang w:val="ru-RU" w:eastAsia="ru-RU" w:bidi="ru-RU"/>
        </w:rPr>
        <w:t>ИССЛЕДОВАТЕЛЬСКИЙ ЦЕНТР "КАЗАНСКИЙ НАУЧНЫЙ ЦЕНТР РОССИЙСКОЙ АКАДЕМИИ НАУК"</w:t>
      </w:r>
    </w:p>
    <w:p>
      <w:pPr>
        <w:pStyle w:val="Style10"/>
        <w:keepNext w:val="0"/>
        <w:keepLines w:val="0"/>
        <w:widowControl w:val="0"/>
        <w:shd w:val="clear" w:color="auto" w:fill="auto"/>
        <w:bidi w:val="0"/>
        <w:spacing w:before="0" w:after="0" w:line="240" w:lineRule="auto"/>
        <w:ind w:left="5700" w:right="0" w:firstLine="20"/>
        <w:jc w:val="both"/>
      </w:pPr>
      <w:r>
        <w:rPr>
          <w:color w:val="000000"/>
          <w:spacing w:val="0"/>
          <w:w w:val="100"/>
          <w:position w:val="0"/>
          <w:shd w:val="clear" w:color="auto" w:fill="auto"/>
          <w:lang w:val="ru-RU" w:eastAsia="ru-RU" w:bidi="ru-RU"/>
        </w:rPr>
        <w:t>Заявителю:</w:t>
      </w:r>
    </w:p>
    <w:p>
      <w:pPr>
        <w:pStyle w:val="Style10"/>
        <w:keepNext w:val="0"/>
        <w:keepLines w:val="0"/>
        <w:widowControl w:val="0"/>
        <w:shd w:val="clear" w:color="auto" w:fill="auto"/>
        <w:bidi w:val="0"/>
        <w:spacing w:before="0" w:after="0" w:line="240" w:lineRule="auto"/>
        <w:ind w:left="5700" w:right="0" w:firstLine="20"/>
        <w:jc w:val="both"/>
      </w:pPr>
      <w:r>
        <w:rPr>
          <w:color w:val="000000"/>
          <w:spacing w:val="0"/>
          <w:w w:val="100"/>
          <w:position w:val="0"/>
          <w:shd w:val="clear" w:color="auto" w:fill="auto"/>
          <w:lang w:val="ru-RU" w:eastAsia="ru-RU" w:bidi="ru-RU"/>
        </w:rPr>
        <w:t>ОБЩЕСТВО С ОГРАНИЧЕННОЙ</w:t>
      </w:r>
    </w:p>
    <w:p>
      <w:pPr>
        <w:pStyle w:val="Style10"/>
        <w:keepNext w:val="0"/>
        <w:keepLines w:val="0"/>
        <w:widowControl w:val="0"/>
        <w:shd w:val="clear" w:color="auto" w:fill="auto"/>
        <w:bidi w:val="0"/>
        <w:spacing w:before="0" w:after="0" w:line="240" w:lineRule="auto"/>
        <w:ind w:left="5700" w:right="0" w:firstLine="20"/>
        <w:jc w:val="both"/>
      </w:pPr>
      <w:r>
        <w:rPr>
          <w:color w:val="000000"/>
          <w:spacing w:val="0"/>
          <w:w w:val="100"/>
          <w:position w:val="0"/>
          <w:shd w:val="clear" w:color="auto" w:fill="auto"/>
          <w:lang w:val="ru-RU" w:eastAsia="ru-RU" w:bidi="ru-RU"/>
        </w:rPr>
        <w:t>ОТВЕТСТВЕННОСТЬЮ "БРОКЕР</w:t>
      </w:r>
    </w:p>
    <w:p>
      <w:pPr>
        <w:pStyle w:val="Style10"/>
        <w:keepNext w:val="0"/>
        <w:keepLines w:val="0"/>
        <w:widowControl w:val="0"/>
        <w:shd w:val="clear" w:color="auto" w:fill="auto"/>
        <w:bidi w:val="0"/>
        <w:spacing w:before="0" w:after="0" w:line="230" w:lineRule="auto"/>
        <w:ind w:left="5700" w:right="0" w:firstLine="20"/>
        <w:jc w:val="both"/>
      </w:pPr>
      <w:r>
        <w:rPr>
          <w:color w:val="000000"/>
          <w:spacing w:val="0"/>
          <w:w w:val="100"/>
          <w:position w:val="0"/>
          <w:shd w:val="clear" w:color="auto" w:fill="auto"/>
          <w:lang w:val="ru-RU" w:eastAsia="ru-RU" w:bidi="ru-RU"/>
        </w:rPr>
        <w:t>ГРУПП"</w:t>
      </w:r>
    </w:p>
    <w:p>
      <w:pPr>
        <w:pStyle w:val="Style10"/>
        <w:keepNext w:val="0"/>
        <w:keepLines w:val="0"/>
        <w:widowControl w:val="0"/>
        <w:shd w:val="clear" w:color="auto" w:fill="auto"/>
        <w:bidi w:val="0"/>
        <w:spacing w:before="0" w:after="320" w:line="240" w:lineRule="auto"/>
        <w:ind w:left="5700" w:right="0" w:firstLine="0"/>
        <w:jc w:val="left"/>
      </w:pPr>
      <w:r>
        <w:rPr>
          <w:color w:val="000000"/>
          <w:spacing w:val="0"/>
          <w:w w:val="100"/>
          <w:position w:val="0"/>
          <w:u w:val="single"/>
          <w:shd w:val="clear" w:color="auto" w:fill="auto"/>
          <w:lang w:val="ru-RU" w:eastAsia="ru-RU" w:bidi="ru-RU"/>
        </w:rPr>
        <w:t>оооДепбег.Ьгокег77@дшаИ.сот</w:t>
      </w:r>
    </w:p>
    <w:p>
      <w:pPr>
        <w:pStyle w:val="Style10"/>
        <w:keepNext w:val="0"/>
        <w:keepLines w:val="0"/>
        <w:widowControl w:val="0"/>
        <w:shd w:val="clear" w:color="auto" w:fill="auto"/>
        <w:bidi w:val="0"/>
        <w:spacing w:before="0" w:after="620" w:line="240" w:lineRule="auto"/>
        <w:ind w:left="0" w:right="0" w:firstLine="0"/>
        <w:jc w:val="center"/>
      </w:pPr>
      <w:r>
        <w:rPr>
          <w:b/>
          <w:bCs/>
          <w:color w:val="000000"/>
          <w:spacing w:val="0"/>
          <w:w w:val="100"/>
          <w:position w:val="0"/>
          <w:shd w:val="clear" w:color="auto" w:fill="auto"/>
          <w:lang w:val="ru-RU" w:eastAsia="ru-RU" w:bidi="ru-RU"/>
        </w:rPr>
        <w:t>Решение по делу № 016/06/31-1491/2024</w:t>
        <w:br/>
        <w:t>о нарушении законодательства в сфере закупок товаров, работ, услуг</w:t>
        <w:br/>
        <w:t>для обеспечения государственных и муниципальных нужд</w:t>
      </w:r>
    </w:p>
    <w:p>
      <w:pPr>
        <w:pStyle w:val="Style10"/>
        <w:keepNext w:val="0"/>
        <w:keepLines w:val="0"/>
        <w:widowControl w:val="0"/>
        <w:shd w:val="clear" w:color="auto" w:fill="auto"/>
        <w:bidi w:val="0"/>
        <w:spacing w:before="0" w:after="320" w:line="240" w:lineRule="auto"/>
        <w:ind w:left="0" w:right="0" w:firstLine="0"/>
        <w:jc w:val="left"/>
      </w:pPr>
      <w:r>
        <mc:AlternateContent>
          <mc:Choice Requires="wps">
            <w:drawing>
              <wp:anchor distT="0" distB="0" distL="114300" distR="114300" simplePos="0" relativeHeight="125829381" behindDoc="0" locked="0" layoutInCell="1" allowOverlap="1">
                <wp:simplePos x="0" y="0"/>
                <wp:positionH relativeFrom="page">
                  <wp:posOffset>6105525</wp:posOffset>
                </wp:positionH>
                <wp:positionV relativeFrom="paragraph">
                  <wp:posOffset>25400</wp:posOffset>
                </wp:positionV>
                <wp:extent cx="713105" cy="216535"/>
                <wp:wrapSquare wrapText="left"/>
                <wp:docPr id="9" name="Shape 9"/>
                <a:graphic xmlns:a="http://schemas.openxmlformats.org/drawingml/2006/main">
                  <a:graphicData uri="http://schemas.microsoft.com/office/word/2010/wordprocessingShape">
                    <wps:wsp>
                      <wps:cNvSpPr txBox="1"/>
                      <wps:spPr>
                        <a:xfrm>
                          <a:ext cx="713105" cy="216535"/>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г. Казань</w:t>
                            </w:r>
                          </w:p>
                        </w:txbxContent>
                      </wps:txbx>
                      <wps:bodyPr wrap="none" lIns="0" tIns="0" rIns="0" bIns="0">
                        <a:noAutoFit/>
                      </wps:bodyPr>
                    </wps:wsp>
                  </a:graphicData>
                </a:graphic>
              </wp:anchor>
            </w:drawing>
          </mc:Choice>
          <mc:Fallback>
            <w:pict>
              <v:shape id="_x0000_s1035" type="#_x0000_t202" style="position:absolute;margin-left:480.75pt;margin-top:2.pt;width:56.149999999999999pt;height:17.050000000000001pt;z-index:-125829372;mso-wrap-distance-left:9.pt;mso-wrap-distance-right:9.pt;mso-position-horizontal-relative:page" filled="f" stroked="f">
                <v:textbox inset="0,0,0,0">
                  <w:txbxContent>
                    <w:p>
                      <w:pPr>
                        <w:pStyle w:val="Style10"/>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г. Казань</w:t>
                      </w:r>
                    </w:p>
                  </w:txbxContent>
                </v:textbox>
                <w10:wrap type="square" side="left" anchorx="page"/>
              </v:shape>
            </w:pict>
          </mc:Fallback>
        </mc:AlternateContent>
      </w:r>
      <w:r>
        <w:rPr>
          <w:color w:val="000000"/>
          <w:spacing w:val="0"/>
          <w:w w:val="100"/>
          <w:position w:val="0"/>
          <w:shd w:val="clear" w:color="auto" w:fill="auto"/>
          <w:lang w:val="ru-RU" w:eastAsia="ru-RU" w:bidi="ru-RU"/>
        </w:rPr>
        <w:t>31 октября 2024 года</w:t>
      </w:r>
    </w:p>
    <w:p>
      <w:pPr>
        <w:pStyle w:val="Style16"/>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Комиссией Управления Федеральной антимонопольной службы по Республике Татарстан по контролю в сфере закупок товаров, работ, услуг для обеспечения государственных и муниципальных нужд:</w:t>
      </w:r>
    </w:p>
    <w:tbl>
      <w:tblPr>
        <w:tblOverlap w:val="never"/>
        <w:jc w:val="center"/>
        <w:tblLayout w:type="fixed"/>
      </w:tblPr>
      <w:tblGrid>
        <w:gridCol w:w="5558"/>
        <w:gridCol w:w="4680"/>
      </w:tblGrid>
      <w:tr>
        <w:trPr>
          <w:trHeight w:val="667" w:hRule="exact"/>
        </w:trPr>
        <w:tc>
          <w:tcPr>
            <w:tcBorders/>
            <w:shd w:val="clear" w:color="auto" w:fill="auto"/>
            <w:vAlign w:val="top"/>
          </w:tcPr>
          <w:p>
            <w:pPr>
              <w:pStyle w:val="Style18"/>
              <w:keepNext w:val="0"/>
              <w:keepLines w:val="0"/>
              <w:widowControl w:val="0"/>
              <w:shd w:val="clear" w:color="auto" w:fill="auto"/>
              <w:bidi w:val="0"/>
              <w:spacing w:before="0" w:after="0" w:line="240" w:lineRule="auto"/>
              <w:ind w:left="0" w:right="0" w:firstLine="700"/>
              <w:jc w:val="left"/>
            </w:pPr>
            <w:r>
              <w:rPr>
                <w:color w:val="000000"/>
                <w:spacing w:val="0"/>
                <w:w w:val="100"/>
                <w:position w:val="0"/>
                <w:shd w:val="clear" w:color="auto" w:fill="auto"/>
                <w:lang w:val="ru-RU" w:eastAsia="ru-RU" w:bidi="ru-RU"/>
              </w:rPr>
              <w:t>Зам.Председателя Комиссии:</w:t>
            </w:r>
          </w:p>
        </w:tc>
        <w:tc>
          <w:tcPr>
            <w:tcBorders/>
            <w:shd w:val="clear" w:color="auto" w:fill="auto"/>
            <w:vAlign w:val="bottom"/>
          </w:tcPr>
          <w:p>
            <w:pPr>
              <w:pStyle w:val="Style18"/>
              <w:keepNext w:val="0"/>
              <w:keepLines w:val="0"/>
              <w:widowControl w:val="0"/>
              <w:shd w:val="clear" w:color="auto" w:fill="auto"/>
              <w:bidi w:val="0"/>
              <w:spacing w:before="0" w:after="0" w:line="240" w:lineRule="auto"/>
              <w:ind w:left="480" w:right="0" w:firstLine="20"/>
              <w:jc w:val="left"/>
            </w:pPr>
            <w:r>
              <w:rPr>
                <w:color w:val="000000"/>
                <w:spacing w:val="0"/>
                <w:w w:val="100"/>
                <w:position w:val="0"/>
                <w:shd w:val="clear" w:color="auto" w:fill="auto"/>
                <w:lang w:val="ru-RU" w:eastAsia="ru-RU" w:bidi="ru-RU"/>
              </w:rPr>
              <w:t>Кучеевой А.С. - начальника отдела,</w:t>
            </w:r>
          </w:p>
        </w:tc>
      </w:tr>
      <w:tr>
        <w:trPr>
          <w:trHeight w:val="1301" w:hRule="exact"/>
        </w:trPr>
        <w:tc>
          <w:tcPr>
            <w:tcBorders/>
            <w:shd w:val="clear" w:color="auto" w:fill="auto"/>
            <w:vAlign w:val="top"/>
          </w:tcPr>
          <w:p>
            <w:pPr>
              <w:pStyle w:val="Style18"/>
              <w:keepNext w:val="0"/>
              <w:keepLines w:val="0"/>
              <w:widowControl w:val="0"/>
              <w:shd w:val="clear" w:color="auto" w:fill="auto"/>
              <w:bidi w:val="0"/>
              <w:spacing w:before="0" w:after="0" w:line="240" w:lineRule="auto"/>
              <w:ind w:left="0" w:right="0" w:firstLine="700"/>
              <w:jc w:val="left"/>
            </w:pPr>
            <w:r>
              <w:rPr>
                <w:color w:val="000000"/>
                <w:spacing w:val="0"/>
                <w:w w:val="100"/>
                <w:position w:val="0"/>
                <w:shd w:val="clear" w:color="auto" w:fill="auto"/>
                <w:lang w:val="ru-RU" w:eastAsia="ru-RU" w:bidi="ru-RU"/>
              </w:rPr>
              <w:t>Членов Комиссии:</w:t>
            </w:r>
          </w:p>
        </w:tc>
        <w:tc>
          <w:tcPr>
            <w:tcBorders/>
            <w:shd w:val="clear" w:color="auto" w:fill="auto"/>
            <w:vAlign w:val="bottom"/>
          </w:tcPr>
          <w:p>
            <w:pPr>
              <w:pStyle w:val="Style18"/>
              <w:keepNext w:val="0"/>
              <w:keepLines w:val="0"/>
              <w:widowControl w:val="0"/>
              <w:shd w:val="clear" w:color="auto" w:fill="auto"/>
              <w:bidi w:val="0"/>
              <w:spacing w:before="0" w:after="0" w:line="240" w:lineRule="auto"/>
              <w:ind w:left="480" w:right="0" w:firstLine="20"/>
              <w:jc w:val="left"/>
            </w:pPr>
            <w:r>
              <w:rPr>
                <w:color w:val="000000"/>
                <w:spacing w:val="0"/>
                <w:w w:val="100"/>
                <w:position w:val="0"/>
                <w:shd w:val="clear" w:color="auto" w:fill="auto"/>
                <w:lang w:val="ru-RU" w:eastAsia="ru-RU" w:bidi="ru-RU"/>
              </w:rPr>
              <w:t>Курмаевой Г.Р. - старшего государственного инспектора, Никитиной И.Г. - специалиста 1 разряда,</w:t>
            </w:r>
          </w:p>
        </w:tc>
      </w:tr>
    </w:tbl>
    <w:p>
      <w:pPr>
        <w:pStyle w:val="Style10"/>
        <w:keepNext w:val="0"/>
        <w:keepLines w:val="0"/>
        <w:widowControl w:val="0"/>
        <w:shd w:val="clear" w:color="auto" w:fill="auto"/>
        <w:bidi w:val="0"/>
        <w:spacing w:before="0" w:after="320" w:line="240" w:lineRule="auto"/>
        <w:ind w:left="0" w:right="0" w:firstLine="700"/>
        <w:jc w:val="both"/>
      </w:pPr>
      <w:r>
        <w:rPr>
          <w:color w:val="000000"/>
          <w:spacing w:val="0"/>
          <w:w w:val="100"/>
          <w:position w:val="0"/>
          <w:shd w:val="clear" w:color="auto" w:fill="auto"/>
          <w:lang w:val="ru-RU" w:eastAsia="ru-RU" w:bidi="ru-RU"/>
        </w:rPr>
        <w:t>в присутствии представителя Заказчика ФЕДЕРАЛЬНОЕ ГОСУДАРСТВЕННОЕ БЮДЖЕТНОЕ УЧРЕЖДЕНИЕ НАУКИ "ФЕДЕРАЛЬНЫЙ ИССЛЕДОВАТЕЛЬСКИЙ ЦЕНТР "КАЗАНСКИЙ НАУЧНЫЙ ЦЕНТР РОССИЙСКОЙ АКАДЕМИИ НАУК" - Янбаева Ф.М. (по доверенности), в отсутствии заявителя ОБЩЕСТВО С ОГРАНИЧЕННОЙ ОТВЕТСТВЕННОСТЬЮ "БРОКЕР ГРУПП", надлежащим образом уведомленного, рассмотрев по видеоконференции жалобу заявителя (вх. №11454/ж от 25.10.2024 г.) (в ЕИС 24.10.2024) на действия заказчика ФЕДЕРАЛЬНОЕ ГОСУДАРСТВЕННОЕ БЮДЖЕТНОЕ УЧРЕЖДЕНИЕ НАУКИ "ФЕДЕРАЛЬНЫЙ ИССЛЕДОВАТЕЛЬСКИЙ ЦЕНТР "КАЗАНСКИЙ НАУЧНЫЙ ЦЕНТР РОССИЙСКОЙ АКАДЕМИИ НАУК" при проведении закупки по извещению № 0311100009824000028 на предмет: Выполнение работ по капитальному ремонту ранее существующих систем вентиляции,</w:t>
      </w:r>
    </w:p>
    <w:p>
      <w:pPr>
        <w:pStyle w:val="Style10"/>
        <w:keepNext w:val="0"/>
        <w:keepLines w:val="0"/>
        <w:widowControl w:val="0"/>
        <w:shd w:val="clear" w:color="auto" w:fill="auto"/>
        <w:bidi w:val="0"/>
        <w:spacing w:before="0" w:after="320" w:line="240" w:lineRule="auto"/>
        <w:ind w:left="0" w:right="0" w:firstLine="0"/>
        <w:jc w:val="center"/>
      </w:pPr>
      <w:r>
        <w:rPr>
          <w:color w:val="000000"/>
          <w:spacing w:val="0"/>
          <w:w w:val="100"/>
          <w:position w:val="0"/>
          <w:shd w:val="clear" w:color="auto" w:fill="auto"/>
          <w:lang w:val="ru-RU" w:eastAsia="ru-RU" w:bidi="ru-RU"/>
        </w:rPr>
        <w:t>УСТАНОВИЛА:</w:t>
      </w:r>
    </w:p>
    <w:p>
      <w:pPr>
        <w:pStyle w:val="Style10"/>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Извещение о проведении открытого конкурса в электронной форме № 0311100009824000028 размещено на официальном сайте Российской Федерации для размещения информации о размещении заказов \умлу.хакпрк1.§оу.га 09.10.2024 г.</w:t>
      </w:r>
    </w:p>
    <w:p>
      <w:pPr>
        <w:pStyle w:val="Style10"/>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Начальная (максимальная) цена контракта - 6 685 214,19 руб.</w:t>
      </w:r>
    </w:p>
    <w:p>
      <w:pPr>
        <w:pStyle w:val="Style10"/>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Суть жалобы, по мнению заявителя, заказчиком при проведении закупки нарушены требования действующего законодательства о контрактной системе.</w:t>
      </w:r>
    </w:p>
    <w:p>
      <w:pPr>
        <w:pStyle w:val="Style10"/>
        <w:keepNext w:val="0"/>
        <w:keepLines w:val="0"/>
        <w:widowControl w:val="0"/>
        <w:shd w:val="clear" w:color="auto" w:fill="auto"/>
        <w:bidi w:val="0"/>
        <w:spacing w:before="0" w:after="0" w:line="240" w:lineRule="auto"/>
        <w:ind w:left="0" w:right="0" w:firstLine="700"/>
        <w:jc w:val="both"/>
      </w:pPr>
      <w:r>
        <w:rPr>
          <w:b/>
          <w:bCs/>
          <w:color w:val="000000"/>
          <w:spacing w:val="0"/>
          <w:w w:val="100"/>
          <w:position w:val="0"/>
          <w:shd w:val="clear" w:color="auto" w:fill="auto"/>
          <w:lang w:val="ru-RU" w:eastAsia="ru-RU" w:bidi="ru-RU"/>
        </w:rPr>
        <w:t>Комиссия Татарстанского УФАС России по результатам рассмотрения доводов заявителя на действия заказчика и позиции заказчика, изучения документации закупки приходит к следующим выводам.</w:t>
      </w:r>
    </w:p>
    <w:p>
      <w:pPr>
        <w:pStyle w:val="Style10"/>
        <w:keepNext w:val="0"/>
        <w:keepLines w:val="0"/>
        <w:widowControl w:val="0"/>
        <w:numPr>
          <w:ilvl w:val="0"/>
          <w:numId w:val="1"/>
        </w:numPr>
        <w:shd w:val="clear" w:color="auto" w:fill="auto"/>
        <w:tabs>
          <w:tab w:pos="1224" w:val="left"/>
        </w:tabs>
        <w:bidi w:val="0"/>
        <w:spacing w:before="0" w:after="0" w:line="240" w:lineRule="auto"/>
        <w:ind w:left="0" w:right="0" w:firstLine="700"/>
        <w:jc w:val="both"/>
      </w:pPr>
      <w:r>
        <w:rPr>
          <w:i/>
          <w:iCs/>
          <w:color w:val="000000"/>
          <w:spacing w:val="0"/>
          <w:w w:val="100"/>
          <w:position w:val="0"/>
          <w:shd w:val="clear" w:color="auto" w:fill="auto"/>
          <w:lang w:val="ru-RU" w:eastAsia="ru-RU" w:bidi="ru-RU"/>
        </w:rPr>
        <w:t>Относительно довода заявителя о неправомерном установлении требований к участникам закупки.</w:t>
      </w:r>
    </w:p>
    <w:p>
      <w:pPr>
        <w:pStyle w:val="Style10"/>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соответствии с пунктом 12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требования, предъявляемые к участникам закупки в соответствии с частью 1 статьи 31 настоящего Федерального закона, требования, предъявляемые к участникам закупки в соответствии с частями 2 и 2.1 (при наличии таких требований) статьи 31 настоящего Федерального закона,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 частью 1.1 статьи 31 настоящего Федерального закона (при наличии такого требования).</w:t>
      </w:r>
    </w:p>
    <w:p>
      <w:pPr>
        <w:pStyle w:val="Style10"/>
        <w:keepNext w:val="0"/>
        <w:keepLines w:val="0"/>
        <w:widowControl w:val="0"/>
        <w:shd w:val="clear" w:color="auto" w:fill="auto"/>
        <w:bidi w:val="0"/>
        <w:spacing w:before="0" w:after="0" w:line="240" w:lineRule="auto"/>
        <w:ind w:left="0" w:right="0" w:firstLine="700"/>
        <w:jc w:val="both"/>
        <w:sectPr>
          <w:footnotePr>
            <w:pos w:val="pageBottom"/>
            <w:numFmt w:val="decimal"/>
            <w:numRestart w:val="continuous"/>
          </w:footnotePr>
          <w:type w:val="continuous"/>
          <w:pgSz w:w="11900" w:h="16840"/>
          <w:pgMar w:top="1145" w:right="737" w:bottom="1224" w:left="786" w:header="0" w:footer="3" w:gutter="0"/>
          <w:cols w:space="720"/>
          <w:noEndnote/>
          <w:rtlGutter w:val="0"/>
          <w:docGrid w:linePitch="360"/>
        </w:sectPr>
      </w:pPr>
      <w:r>
        <w:rPr>
          <w:color w:val="000000"/>
          <w:spacing w:val="0"/>
          <w:w w:val="100"/>
          <w:position w:val="0"/>
          <w:shd w:val="clear" w:color="auto" w:fill="auto"/>
          <w:lang w:val="ru-RU" w:eastAsia="ru-RU" w:bidi="ru-RU"/>
        </w:rPr>
        <w:t xml:space="preserve">Согласно части 2 статьи 31 Закона о контрактной системе, Правительство Российской Федерации вправе устанавливать к участникам закупок отдельных видов товаров, работ, услуг дополнительные требования, в том числе к наличию: финансовых ресурсов для исполнения контракта; на праве собственности или ином </w:t>
      </w:r>
    </w:p>
    <w:p>
      <w:pPr>
        <w:pStyle w:val="Style10"/>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законном основании оборудования и других материальных ресурсов для исполнения контракта; опыта работы, связанного с предметом контракта, и деловой репутации; необходимого количества специалистов и иных работников определенного уровня квалификации для исполнения контракта.</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частью 4 статьи 31 Закона о контрактной системе, в случае установления Правительством Российской Федерации в соответствии с частью 2 статьи 31 Закона о контрактной системе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Указанные дополнительные требования, а также перечень документов, подтверждающих соответствие участников закупки таким дополнительным требованиям, установлены Постановлением Правительства РФ от 29.12.2021 И 2571 «О требованиях к участникам закупки товаров, работ, услуг для обеспечения государственных и муниципальных нужд и признании утратившими силу некоторых актов и отдельных положений актов Правительства Российской Федерации».</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п. 3 Постановления №2571, установлено, что положения настоящего постановления применяются при проведении конкурентных способов определения поставщиков (подрядчиков, исполнителей), при этом: позиции 6 - 13, 17 и 18 приложения применяются в случае, если при осуществлении закупки начальная (максимальная) цена контракта для обеспечения федеральных нужд превышает 10 млн. рублей, для обеспечения нужд субъектов Российской Федерации, муниципальных нужд - 5 млн. рублей;</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Заказчиком в извещении установлены требования в соответствии с позицией 10 раздела III приложения к ПП РФ от 29.12.2021 № 2571 - Работы по капитальному ремонту объекта капитального строительства (за исключением линейного объекта).</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При этом, начальная (максимальная) цена контракта по данной закупке составляет - 6 685 214,19 руб.</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Таким образом, установленные требования к участникам закупки в соответствии с позицией 10 раздела III приложения к ПП РФ от 29.12.2021 № 2571 неправомерны.</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Заказчиком допущены нарушения требования п. 12 ч. 1 ст 42, ч. 2 ст. 31 Закона о контрактной системе.</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Довод заявителя признан обоснованным.</w:t>
      </w:r>
    </w:p>
    <w:p>
      <w:pPr>
        <w:pStyle w:val="Style10"/>
        <w:keepNext w:val="0"/>
        <w:keepLines w:val="0"/>
        <w:widowControl w:val="0"/>
        <w:numPr>
          <w:ilvl w:val="0"/>
          <w:numId w:val="1"/>
        </w:numPr>
        <w:shd w:val="clear" w:color="auto" w:fill="auto"/>
        <w:tabs>
          <w:tab w:pos="1224" w:val="left"/>
        </w:tabs>
        <w:bidi w:val="0"/>
        <w:spacing w:before="0" w:after="0" w:line="240" w:lineRule="auto"/>
        <w:ind w:left="0" w:right="0" w:firstLine="720"/>
        <w:jc w:val="both"/>
      </w:pPr>
      <w:r>
        <w:rPr>
          <w:i/>
          <w:iCs/>
          <w:color w:val="000000"/>
          <w:spacing w:val="0"/>
          <w:w w:val="100"/>
          <w:position w:val="0"/>
          <w:shd w:val="clear" w:color="auto" w:fill="auto"/>
          <w:lang w:val="ru-RU" w:eastAsia="ru-RU" w:bidi="ru-RU"/>
        </w:rPr>
        <w:t>Относительно довода заявителя о неверном указании сроков выполнения работ и исполнения контракта.</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Согласно части 1 статьи 34 Закона о контрактной системе контракт заключается на условиях, предусмотренных извещением об осуществлении закупки или приглашением, документацией о закупке, заявкой участника закупки, с которым заключается контракт, за исключением случаев, в которых в соответствии с настоящим Федеральным законом извещение об осуществлении закупки или приглашение, документация о закупке, заявка не предусмотрены. В случае, предусмотренном частью 24 статьи 22 настоящего Федерального закона, контракт </w:t>
      </w:r>
      <w:r>
        <w:rPr>
          <w:color w:val="000000"/>
          <w:spacing w:val="0"/>
          <w:w w:val="100"/>
          <w:position w:val="0"/>
          <w:shd w:val="clear" w:color="auto" w:fill="auto"/>
          <w:lang w:val="ru-RU" w:eastAsia="ru-RU" w:bidi="ru-RU"/>
        </w:rPr>
        <w:t>должен содержать порядок определения количества поставляемого товара, объема выполняемой работы, оказываемой услуги на основании заявок заказчика.</w:t>
      </w:r>
    </w:p>
    <w:p>
      <w:pPr>
        <w:pStyle w:val="Style10"/>
        <w:keepNext w:val="0"/>
        <w:keepLines w:val="0"/>
        <w:widowControl w:val="0"/>
        <w:shd w:val="clear" w:color="auto" w:fill="auto"/>
        <w:bidi w:val="0"/>
        <w:spacing w:before="0" w:after="0" w:line="240" w:lineRule="auto"/>
        <w:ind w:left="0" w:right="0" w:firstLine="680"/>
        <w:jc w:val="both"/>
      </w:pPr>
      <w:r>
        <w:rPr>
          <w:color w:val="000000"/>
          <w:spacing w:val="0"/>
          <w:w w:val="100"/>
          <w:position w:val="0"/>
          <w:shd w:val="clear" w:color="auto" w:fill="auto"/>
          <w:lang w:val="ru-RU" w:eastAsia="ru-RU" w:bidi="ru-RU"/>
        </w:rPr>
        <w:t>В соответствии с пунктом 1 части 13 статьи 34 Закона о контрактной системе в контракт включаются обязательные условия о порядке и сроках оплаты товара, работы или услуги, в том числе с учетом положений части 13 статьи 37 настоящего Федерального закона, о порядке и сроках осуществления заказчиком приемки поставленного товара, выполненной работы (ее результатов) или оказанной услуги в части соответствия их количества, комплектности, объема требованиям, установленным контрактом, о порядке и сроках оформления результатов такой приемки, а также о порядке и сроке предоставления поставщиком (подрядчиком, исполнителем) обеспечения гарантийных обязательств в случае установления в соответствии со статьей 96 настоящего Федерального закона требования обеспечения гарантийных обязательств.</w:t>
      </w:r>
    </w:p>
    <w:p>
      <w:pPr>
        <w:pStyle w:val="Style10"/>
        <w:keepNext w:val="0"/>
        <w:keepLines w:val="0"/>
        <w:widowControl w:val="0"/>
        <w:shd w:val="clear" w:color="auto" w:fill="auto"/>
        <w:bidi w:val="0"/>
        <w:spacing w:before="0" w:after="0" w:line="240" w:lineRule="auto"/>
        <w:ind w:left="0" w:right="0" w:firstLine="680"/>
        <w:jc w:val="both"/>
      </w:pPr>
      <w:r>
        <w:rPr>
          <w:color w:val="000000"/>
          <w:spacing w:val="0"/>
          <w:w w:val="100"/>
          <w:position w:val="0"/>
          <w:shd w:val="clear" w:color="auto" w:fill="auto"/>
          <w:lang w:val="ru-RU" w:eastAsia="ru-RU" w:bidi="ru-RU"/>
        </w:rPr>
        <w:t>В соответствии с пунктом 8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срок исполнения контракта (отдельных этапов исполнения контракта, если проектом контракта предусмотрены такие этапы).</w:t>
      </w:r>
    </w:p>
    <w:p>
      <w:pPr>
        <w:pStyle w:val="Style10"/>
        <w:keepNext w:val="0"/>
        <w:keepLines w:val="0"/>
        <w:widowControl w:val="0"/>
        <w:shd w:val="clear" w:color="auto" w:fill="auto"/>
        <w:bidi w:val="0"/>
        <w:spacing w:before="0" w:after="0" w:line="240" w:lineRule="auto"/>
        <w:ind w:left="0" w:right="0" w:firstLine="680"/>
        <w:jc w:val="both"/>
      </w:pPr>
      <w:r>
        <w:rPr>
          <w:color w:val="000000"/>
          <w:spacing w:val="0"/>
          <w:w w:val="100"/>
          <w:position w:val="0"/>
          <w:shd w:val="clear" w:color="auto" w:fill="auto"/>
          <w:lang w:val="ru-RU" w:eastAsia="ru-RU" w:bidi="ru-RU"/>
        </w:rPr>
        <w:t>Согласно п. 1,2 ч. 1 ст. 94 Закона № 44-ФЗ, исполнение контракта включает в себя следующий комплекс мер, реализуемых после заключения контракта и направленных на достижение целей осуществления закупки путем взаимодействия заказчика с поставщиком (подрядчиком, исполнителем) в соответствии с гражданским законодательством и настоящим Федеральным законом, в том числе:</w:t>
      </w:r>
    </w:p>
    <w:p>
      <w:pPr>
        <w:pStyle w:val="Style10"/>
        <w:keepNext w:val="0"/>
        <w:keepLines w:val="0"/>
        <w:widowControl w:val="0"/>
        <w:numPr>
          <w:ilvl w:val="0"/>
          <w:numId w:val="3"/>
        </w:numPr>
        <w:shd w:val="clear" w:color="auto" w:fill="auto"/>
        <w:tabs>
          <w:tab w:pos="1114" w:val="left"/>
        </w:tabs>
        <w:bidi w:val="0"/>
        <w:spacing w:before="0" w:after="0" w:line="240" w:lineRule="auto"/>
        <w:ind w:left="0" w:right="0" w:firstLine="680"/>
        <w:jc w:val="both"/>
      </w:pPr>
      <w:r>
        <w:rPr>
          <w:color w:val="000000"/>
          <w:spacing w:val="0"/>
          <w:w w:val="100"/>
          <w:position w:val="0"/>
          <w:shd w:val="clear" w:color="auto" w:fill="auto"/>
          <w:lang w:val="ru-RU" w:eastAsia="ru-RU" w:bidi="ru-RU"/>
        </w:rPr>
        <w:t>приемку поставленного товара, выполненной работы (ее результатов), оказанной услуги, отдельных этапов исполнения контракта, предусмотренных контрактом, включая проведение в соответствии с настоящим Федеральным законом экспертизы поставленного товара, результатов выполненной работы, оказанной услуги, отдельных этапов исполнения контракта;</w:t>
      </w:r>
    </w:p>
    <w:p>
      <w:pPr>
        <w:pStyle w:val="Style10"/>
        <w:keepNext w:val="0"/>
        <w:keepLines w:val="0"/>
        <w:widowControl w:val="0"/>
        <w:numPr>
          <w:ilvl w:val="0"/>
          <w:numId w:val="3"/>
        </w:numPr>
        <w:shd w:val="clear" w:color="auto" w:fill="auto"/>
        <w:tabs>
          <w:tab w:pos="1114" w:val="left"/>
        </w:tabs>
        <w:bidi w:val="0"/>
        <w:spacing w:before="0" w:after="0" w:line="240" w:lineRule="auto"/>
        <w:ind w:left="0" w:right="0" w:firstLine="680"/>
        <w:jc w:val="both"/>
      </w:pPr>
      <w:r>
        <w:rPr>
          <w:color w:val="000000"/>
          <w:spacing w:val="0"/>
          <w:w w:val="100"/>
          <w:position w:val="0"/>
          <w:shd w:val="clear" w:color="auto" w:fill="auto"/>
          <w:lang w:val="ru-RU" w:eastAsia="ru-RU" w:bidi="ru-RU"/>
        </w:rPr>
        <w:t>оплату заказчиком поставщику (подрядчику, исполнителю) поставленного товара, выполненной работы (ее результатов), оказанной услуги, а также отдельных этапов исполнения контракта;</w:t>
      </w:r>
    </w:p>
    <w:p>
      <w:pPr>
        <w:pStyle w:val="Style10"/>
        <w:keepNext w:val="0"/>
        <w:keepLines w:val="0"/>
        <w:widowControl w:val="0"/>
        <w:numPr>
          <w:ilvl w:val="0"/>
          <w:numId w:val="3"/>
        </w:numPr>
        <w:shd w:val="clear" w:color="auto" w:fill="auto"/>
        <w:tabs>
          <w:tab w:pos="1114" w:val="left"/>
        </w:tabs>
        <w:bidi w:val="0"/>
        <w:spacing w:before="0" w:after="0" w:line="240" w:lineRule="auto"/>
        <w:ind w:left="0" w:right="0" w:firstLine="680"/>
        <w:jc w:val="both"/>
      </w:pPr>
      <w:r>
        <w:rPr>
          <w:color w:val="000000"/>
          <w:spacing w:val="0"/>
          <w:w w:val="100"/>
          <w:position w:val="0"/>
          <w:shd w:val="clear" w:color="auto" w:fill="auto"/>
          <w:lang w:val="ru-RU" w:eastAsia="ru-RU" w:bidi="ru-RU"/>
        </w:rPr>
        <w:t>взаимодействие заказчика с поставщиком (подрядчиком, исполнителем) при исполнении, изменении, расторжении контракта в соответствии со статьей 95 настоящего Федерального закона, применении мер ответственности и совершении иных действий в случае нарушения поставщиком (подрядчиком, исполнителем) или заказчиком условий контракта.</w:t>
      </w:r>
    </w:p>
    <w:p>
      <w:pPr>
        <w:pStyle w:val="Style10"/>
        <w:keepNext w:val="0"/>
        <w:keepLines w:val="0"/>
        <w:widowControl w:val="0"/>
        <w:shd w:val="clear" w:color="auto" w:fill="auto"/>
        <w:bidi w:val="0"/>
        <w:spacing w:before="0" w:after="0" w:line="240" w:lineRule="auto"/>
        <w:ind w:left="0" w:right="0" w:firstLine="680"/>
        <w:jc w:val="both"/>
      </w:pPr>
      <w:r>
        <w:rPr>
          <w:color w:val="000000"/>
          <w:spacing w:val="0"/>
          <w:w w:val="100"/>
          <w:position w:val="0"/>
          <w:shd w:val="clear" w:color="auto" w:fill="auto"/>
          <w:lang w:val="ru-RU" w:eastAsia="ru-RU" w:bidi="ru-RU"/>
        </w:rPr>
        <w:t>Пунктом 3.3 проекта контракта заказчиком установлен срок выполнения Работ: Начало работ - с даты подписания настоящего Контракта. Окончание - 29.11.2024.</w:t>
      </w:r>
    </w:p>
    <w:p>
      <w:pPr>
        <w:pStyle w:val="Style10"/>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Согласно п. 10.1 проекта контракта, контракт вступает в силу со дня его заключения сторонами и действует до полного исполнения сторонами своих обязательств по контракту.</w:t>
      </w:r>
    </w:p>
    <w:p>
      <w:pPr>
        <w:pStyle w:val="Style10"/>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Согласно извещению, размещенному на официальном сайте ЕИС, срок исполнения контракта - 29.11.2024 г.</w:t>
      </w:r>
    </w:p>
    <w:p>
      <w:pPr>
        <w:pStyle w:val="Style10"/>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По мнению заявителя, срок исполнения контракта и срок окончания выполнения работ являются различными временными периодами, в связи с чем данные сроки заказчиком установлены неправомерно.</w:t>
      </w:r>
    </w:p>
    <w:p>
      <w:pPr>
        <w:pStyle w:val="Style10"/>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Однако, согласно Письму Минфина России от 06.07.2023 И 24-06-06/62944 «Об определении заказчиком срока исполнения контракта» следует, что указываемый в извещении об осуществлении закупки срок исполнения контракта представляет собой срок, включающий в себя комплекс мер, реализуемых после заключения контракта, в том числе приемку, а также оплату.</w:t>
      </w:r>
    </w:p>
    <w:p>
      <w:pPr>
        <w:pStyle w:val="Style10"/>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При этом следует отметить, что согласно п. 1 ч. 13 ст.34 Закона № 44-ФЗ в контракт включаются обязательные условия о сроках:</w:t>
      </w:r>
    </w:p>
    <w:p>
      <w:pPr>
        <w:pStyle w:val="Style10"/>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оплаты товара, работы или услуги;</w:t>
      </w:r>
    </w:p>
    <w:p>
      <w:pPr>
        <w:pStyle w:val="Style10"/>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осуществления заказчиком приемки поставленного товара, выполненной работы (ее результатов) или оказанной услуги;</w:t>
      </w:r>
    </w:p>
    <w:p>
      <w:pPr>
        <w:pStyle w:val="Style10"/>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оформления результатов такой приемки;</w:t>
      </w:r>
    </w:p>
    <w:p>
      <w:pPr>
        <w:pStyle w:val="Style10"/>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предоставления поставщиком (подрядчиком, исполнителем) обеспечения гарантийных обязательств в случае установления в соответствии со ст. 96 Закона № 44-ФЗ требования обеспечения гарантийных обязательств.</w:t>
      </w:r>
    </w:p>
    <w:p>
      <w:pPr>
        <w:pStyle w:val="Style10"/>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Таким образом, заказчик при формировании извещения об осуществлении закупки имеет возможность определить срок исполнения контракта с учетом предполагаемых сроков осуществления приемки и оформления ее результатов, в том числе оплаты.</w:t>
      </w:r>
    </w:p>
    <w:p>
      <w:pPr>
        <w:pStyle w:val="Style10"/>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Следовательно, установление заказчиком сроков окончания выполнения работ равных сроку исполнения контракта не противоречит действующему законодательству, так как приемка и оплата товара, работы, услуги может быть произведена в один день, вследствие чего в действиях заказчика отсутствует нарушение норм Закона о контрактной системе.</w:t>
      </w:r>
    </w:p>
    <w:p>
      <w:pPr>
        <w:pStyle w:val="Style10"/>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Довод заявителя не нашел своего подтверждения.</w:t>
      </w:r>
    </w:p>
    <w:p>
      <w:pPr>
        <w:pStyle w:val="Style10"/>
        <w:keepNext w:val="0"/>
        <w:keepLines w:val="0"/>
        <w:widowControl w:val="0"/>
        <w:numPr>
          <w:ilvl w:val="0"/>
          <w:numId w:val="1"/>
        </w:numPr>
        <w:shd w:val="clear" w:color="auto" w:fill="auto"/>
        <w:tabs>
          <w:tab w:pos="1224" w:val="left"/>
        </w:tabs>
        <w:bidi w:val="0"/>
        <w:spacing w:before="0" w:after="0" w:line="240" w:lineRule="auto"/>
        <w:ind w:left="0" w:right="0" w:firstLine="700"/>
        <w:jc w:val="both"/>
      </w:pPr>
      <w:r>
        <w:rPr>
          <w:i/>
          <w:iCs/>
          <w:color w:val="000000"/>
          <w:spacing w:val="0"/>
          <w:w w:val="100"/>
          <w:position w:val="0"/>
          <w:shd w:val="clear" w:color="auto" w:fill="auto"/>
          <w:lang w:val="ru-RU" w:eastAsia="ru-RU" w:bidi="ru-RU"/>
        </w:rPr>
        <w:t>Относительно довода заявителя об имеющихся разночтениях в части оцениваемых контрактов по критерию оценки.</w:t>
      </w:r>
    </w:p>
    <w:p>
      <w:pPr>
        <w:pStyle w:val="Style10"/>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Согласно п. 3 ч. 1 ст. 7 Закона о контрактной системе, информация, предусмотренная настоящим Федеральным законом и размещенная в единой информационной системе, должна быть полной и достоверной.</w:t>
      </w:r>
    </w:p>
    <w:p>
      <w:pPr>
        <w:pStyle w:val="Style10"/>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 xml:space="preserve">Так, согласно п. 6 требований к содержанию, составу заявки на участие в закупке (Приложение №3) «в случае наличия опыта, предусмотренного пунктом 2 графы "Дополнительные требования к участникам закупки" настоящей позиции: 6) документы, подтверждающие квалификацию участника закупки (отсутствие таких документов не является основанием для признания заявки не соответствующей требованиям Федерального закона от 05.04.2013 №44-ФЗ), а, именно: исполненный договор (договоры), предусматривающий выполнение работ по капитальному </w:t>
      </w:r>
      <w:r>
        <w:rPr>
          <w:color w:val="000000"/>
          <w:spacing w:val="0"/>
          <w:w w:val="100"/>
          <w:position w:val="0"/>
          <w:shd w:val="clear" w:color="auto" w:fill="auto"/>
          <w:lang w:val="ru-RU" w:eastAsia="ru-RU" w:bidi="ru-RU"/>
        </w:rPr>
        <w:t>ремонту ранее существующих систем и акт (акты) приемки выполненных работ, составленные при исполнении такого договора (договоров)».</w:t>
      </w:r>
    </w:p>
    <w:p>
      <w:pPr>
        <w:pStyle w:val="Style10"/>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Сведения, подтверждающие квалификацию участника закупки, рекомендуется подать по следующей форме.</w:t>
      </w:r>
    </w:p>
    <w:p>
      <w:pPr>
        <w:pStyle w:val="Style6"/>
        <w:keepNext w:val="0"/>
        <w:keepLines w:val="0"/>
        <w:widowControl w:val="0"/>
        <w:shd w:val="clear" w:color="auto" w:fill="auto"/>
        <w:bidi w:val="0"/>
        <w:spacing w:before="0" w:after="240" w:line="240" w:lineRule="auto"/>
        <w:ind w:left="0" w:right="0" w:firstLine="0"/>
        <w:jc w:val="right"/>
        <w:rPr>
          <w:sz w:val="22"/>
          <w:szCs w:val="22"/>
        </w:rPr>
      </w:pPr>
      <w:r>
        <w:rPr>
          <w:i/>
          <w:iCs/>
          <w:color w:val="000000"/>
          <w:spacing w:val="0"/>
          <w:w w:val="100"/>
          <w:position w:val="0"/>
          <w:sz w:val="22"/>
          <w:szCs w:val="22"/>
          <w:shd w:val="clear" w:color="auto" w:fill="auto"/>
          <w:lang w:val="ru-RU" w:eastAsia="ru-RU" w:bidi="ru-RU"/>
        </w:rPr>
        <w:t>(рекомендуемая форма)</w:t>
      </w:r>
    </w:p>
    <w:tbl>
      <w:tblPr>
        <w:tblOverlap w:val="never"/>
        <w:jc w:val="center"/>
        <w:tblLayout w:type="fixed"/>
      </w:tblPr>
      <w:tblGrid>
        <w:gridCol w:w="562"/>
        <w:gridCol w:w="6331"/>
        <w:gridCol w:w="3466"/>
      </w:tblGrid>
      <w:tr>
        <w:trPr>
          <w:trHeight w:val="850" w:hRule="exact"/>
        </w:trPr>
        <w:tc>
          <w:tcPr>
            <w:tcBorders>
              <w:top w:val="single" w:sz="4"/>
              <w:left w:val="single" w:sz="4"/>
            </w:tcBorders>
            <w:shd w:val="clear" w:color="auto" w:fill="auto"/>
            <w:vAlign w:val="center"/>
          </w:tcPr>
          <w:p>
            <w:pPr>
              <w:pStyle w:val="Style18"/>
              <w:keepNext w:val="0"/>
              <w:keepLines w:val="0"/>
              <w:widowControl w:val="0"/>
              <w:shd w:val="clear" w:color="auto" w:fill="auto"/>
              <w:bidi w:val="0"/>
              <w:spacing w:before="0" w:after="0" w:line="254" w:lineRule="auto"/>
              <w:ind w:left="0" w:right="0" w:firstLine="0"/>
              <w:jc w:val="center"/>
              <w:rPr>
                <w:sz w:val="22"/>
                <w:szCs w:val="22"/>
              </w:rPr>
            </w:pPr>
            <w:r>
              <w:rPr>
                <w:b/>
                <w:bCs/>
                <w:color w:val="000000"/>
                <w:spacing w:val="0"/>
                <w:w w:val="100"/>
                <w:position w:val="0"/>
                <w:sz w:val="22"/>
                <w:szCs w:val="22"/>
                <w:shd w:val="clear" w:color="auto" w:fill="auto"/>
                <w:lang w:val="ru-RU" w:eastAsia="ru-RU" w:bidi="ru-RU"/>
              </w:rPr>
              <w:t>№ п/п</w:t>
            </w:r>
          </w:p>
        </w:tc>
        <w:tc>
          <w:tcPr>
            <w:tcBorders>
              <w:top w:val="single" w:sz="4"/>
              <w:lef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ru-RU" w:eastAsia="ru-RU" w:bidi="ru-RU"/>
              </w:rPr>
              <w:t>Наименование показателя</w:t>
            </w:r>
          </w:p>
        </w:tc>
        <w:tc>
          <w:tcPr>
            <w:tcBorders>
              <w:top w:val="single" w:sz="4"/>
              <w:left w:val="single" w:sz="4"/>
              <w:right w:val="single" w:sz="4"/>
            </w:tcBorders>
            <w:shd w:val="clear" w:color="auto" w:fill="auto"/>
            <w:vAlign w:val="bottom"/>
          </w:tcPr>
          <w:p>
            <w:pPr>
              <w:pStyle w:val="Style18"/>
              <w:keepNext w:val="0"/>
              <w:keepLines w:val="0"/>
              <w:widowControl w:val="0"/>
              <w:shd w:val="clear" w:color="auto" w:fill="auto"/>
              <w:bidi w:val="0"/>
              <w:spacing w:before="0" w:after="0" w:line="257" w:lineRule="auto"/>
              <w:ind w:left="0" w:right="0" w:firstLine="0"/>
              <w:jc w:val="center"/>
              <w:rPr>
                <w:sz w:val="22"/>
                <w:szCs w:val="22"/>
              </w:rPr>
            </w:pPr>
            <w:r>
              <w:rPr>
                <w:b/>
                <w:bCs/>
                <w:color w:val="000000"/>
                <w:spacing w:val="0"/>
                <w:w w:val="100"/>
                <w:position w:val="0"/>
                <w:sz w:val="22"/>
                <w:szCs w:val="22"/>
                <w:shd w:val="clear" w:color="auto" w:fill="auto"/>
                <w:lang w:val="ru-RU" w:eastAsia="ru-RU" w:bidi="ru-RU"/>
              </w:rPr>
              <w:t>Предложение участника конкурса (значения указываются цифрами)</w:t>
            </w:r>
          </w:p>
        </w:tc>
      </w:tr>
      <w:tr>
        <w:trPr>
          <w:trHeight w:val="1162" w:hRule="exact"/>
        </w:trPr>
        <w:tc>
          <w:tcPr>
            <w:tcBorders>
              <w:top w:val="single" w:sz="4"/>
              <w:left w:val="single" w:sz="4"/>
              <w:bottom w:val="single" w:sz="4"/>
            </w:tcBorders>
            <w:shd w:val="clear" w:color="auto" w:fill="auto"/>
            <w:vAlign w:val="top"/>
          </w:tcPr>
          <w:p>
            <w:pPr>
              <w:pStyle w:val="Style18"/>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1</w:t>
            </w:r>
          </w:p>
        </w:tc>
        <w:tc>
          <w:tcPr>
            <w:tcBorders>
              <w:top w:val="single" w:sz="4"/>
              <w:left w:val="single" w:sz="4"/>
              <w:bottom w:val="single" w:sz="4"/>
            </w:tcBorders>
            <w:shd w:val="clear" w:color="auto" w:fill="auto"/>
            <w:vAlign w:val="bottom"/>
          </w:tcPr>
          <w:p>
            <w:pPr>
              <w:pStyle w:val="Style18"/>
              <w:keepNext w:val="0"/>
              <w:keepLines w:val="0"/>
              <w:widowControl w:val="0"/>
              <w:shd w:val="clear" w:color="auto" w:fill="auto"/>
              <w:bidi w:val="0"/>
              <w:spacing w:before="0" w:after="0" w:line="300" w:lineRule="auto"/>
              <w:ind w:left="0" w:right="0" w:firstLine="0"/>
              <w:jc w:val="left"/>
              <w:rPr>
                <w:sz w:val="20"/>
                <w:szCs w:val="20"/>
              </w:rPr>
            </w:pPr>
            <w:r>
              <w:rPr>
                <w:color w:val="000000"/>
                <w:spacing w:val="0"/>
                <w:w w:val="100"/>
                <w:position w:val="0"/>
                <w:sz w:val="20"/>
                <w:szCs w:val="20"/>
                <w:shd w:val="clear" w:color="auto" w:fill="auto"/>
                <w:lang w:val="ru-RU" w:eastAsia="ru-RU" w:bidi="ru-RU"/>
              </w:rPr>
              <w:t>Общее количество исполненных контрактов (договоров) на выполнение работ по строительству, реконструкции, капитальному ремонту по линейным объектам, за исключением автомобильной дороги, шт.</w:t>
            </w:r>
          </w:p>
        </w:tc>
        <w:tc>
          <w:tcPr>
            <w:tcBorders>
              <w:top w:val="single" w:sz="4"/>
              <w:left w:val="single" w:sz="4"/>
              <w:bottom w:val="single" w:sz="4"/>
              <w:right w:val="single" w:sz="4"/>
            </w:tcBorders>
            <w:shd w:val="clear" w:color="auto" w:fill="auto"/>
            <w:vAlign w:val="top"/>
          </w:tcPr>
          <w:p>
            <w:pPr>
              <w:widowControl w:val="0"/>
              <w:rPr>
                <w:sz w:val="10"/>
                <w:szCs w:val="10"/>
              </w:rPr>
            </w:pPr>
          </w:p>
        </w:tc>
      </w:tr>
    </w:tbl>
    <w:p>
      <w:pPr>
        <w:widowControl w:val="0"/>
        <w:spacing w:after="299" w:line="1" w:lineRule="exact"/>
      </w:pPr>
    </w:p>
    <w:p>
      <w:pPr>
        <w:pStyle w:val="Style10"/>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При этом, согласно п. 2.1.1 порядка рассмотрения заявок и оценки заявок на участие в конкурсе (Приложение №4 к извещению) установлено, что «К оценке принимается исключительно исполненные контракты и/или договоры соответствующих объекту закупки, предусматривающий выполнение работ по строительству, реконструкции, капитальному ремонту, сносу объекта капитального строительства (в том числе линейного объекта), проведение работ по сохранению объектов культурного наследия (памятников истории и культуры) народов Российской Федерации».</w:t>
      </w:r>
    </w:p>
    <w:p>
      <w:pPr>
        <w:pStyle w:val="Style10"/>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Таким образом, Заказчиком в приложениях №3 и 4 установлены противоречивые требования относительно предоставляемых к оценке контрактов по критерию оценки, что могло ввести потенциальных участников закупки в заблуждение.</w:t>
      </w:r>
    </w:p>
    <w:p>
      <w:pPr>
        <w:pStyle w:val="Style10"/>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Заказчиком допущены нарушения требования п. 3 ч. 1 ст. 7 Закона о контрактной системе.</w:t>
      </w:r>
    </w:p>
    <w:p>
      <w:pPr>
        <w:pStyle w:val="Style10"/>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Довод заявителя признан обоснованным.</w:t>
      </w:r>
    </w:p>
    <w:p>
      <w:pPr>
        <w:pStyle w:val="Style10"/>
        <w:keepNext w:val="0"/>
        <w:keepLines w:val="0"/>
        <w:widowControl w:val="0"/>
        <w:numPr>
          <w:ilvl w:val="0"/>
          <w:numId w:val="1"/>
        </w:numPr>
        <w:shd w:val="clear" w:color="auto" w:fill="auto"/>
        <w:tabs>
          <w:tab w:pos="1224" w:val="left"/>
        </w:tabs>
        <w:bidi w:val="0"/>
        <w:spacing w:before="0" w:after="0" w:line="240" w:lineRule="auto"/>
        <w:ind w:left="0" w:right="0" w:firstLine="700"/>
        <w:jc w:val="both"/>
      </w:pPr>
      <w:r>
        <w:rPr>
          <w:i/>
          <w:iCs/>
          <w:color w:val="000000"/>
          <w:spacing w:val="0"/>
          <w:w w:val="100"/>
          <w:position w:val="0"/>
          <w:shd w:val="clear" w:color="auto" w:fill="auto"/>
          <w:lang w:val="ru-RU" w:eastAsia="ru-RU" w:bidi="ru-RU"/>
        </w:rPr>
        <w:t>Относительно довода заявителя об установлении неверного порядка оценки в соответствии с Постановлением Правительства РФ №2604.</w:t>
      </w:r>
    </w:p>
    <w:p>
      <w:pPr>
        <w:pStyle w:val="Style10"/>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соответствии с пунктом 11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в том числе, критерии оценки заявок на участие в конкурсах, величины значимости этих критериев в соответствии с настоящим Федеральным законом.</w:t>
      </w:r>
    </w:p>
    <w:p>
      <w:pPr>
        <w:pStyle w:val="Style10"/>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Согласно пункту 4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также порядок рассмотрения и оценки заявок на участие в конкурсах в соответствии с настоящим Федеральным законом.</w:t>
      </w:r>
    </w:p>
    <w:p>
      <w:pPr>
        <w:pStyle w:val="Style10"/>
        <w:keepNext w:val="0"/>
        <w:keepLines w:val="0"/>
        <w:widowControl w:val="0"/>
        <w:shd w:val="clear" w:color="auto" w:fill="auto"/>
        <w:bidi w:val="0"/>
        <w:spacing w:before="0" w:after="260" w:line="240" w:lineRule="auto"/>
        <w:ind w:left="0" w:right="0" w:firstLine="700"/>
        <w:jc w:val="both"/>
      </w:pPr>
      <w:r>
        <w:rPr>
          <w:color w:val="000000"/>
          <w:spacing w:val="0"/>
          <w:w w:val="100"/>
          <w:position w:val="0"/>
          <w:shd w:val="clear" w:color="auto" w:fill="auto"/>
          <w:lang w:val="ru-RU" w:eastAsia="ru-RU" w:bidi="ru-RU"/>
        </w:rPr>
        <w:t>В соответствии с частью 1 статьи 32 Закона о контрактной системе для оценки заявок, окончательных предложений участников закупки заказчик в документации о закупке устанавливает следующие критерии:</w:t>
      </w:r>
    </w:p>
    <w:p>
      <w:pPr>
        <w:pStyle w:val="Style10"/>
        <w:keepNext w:val="0"/>
        <w:keepLines w:val="0"/>
        <w:widowControl w:val="0"/>
        <w:numPr>
          <w:ilvl w:val="0"/>
          <w:numId w:val="5"/>
        </w:numPr>
        <w:shd w:val="clear" w:color="auto" w:fill="auto"/>
        <w:tabs>
          <w:tab w:pos="1040" w:val="left"/>
        </w:tabs>
        <w:bidi w:val="0"/>
        <w:spacing w:before="0" w:after="0" w:line="240" w:lineRule="auto"/>
        <w:ind w:left="0" w:right="0" w:firstLine="700"/>
        <w:jc w:val="both"/>
      </w:pPr>
      <w:r>
        <w:rPr>
          <w:color w:val="000000"/>
          <w:spacing w:val="0"/>
          <w:w w:val="100"/>
          <w:position w:val="0"/>
          <w:shd w:val="clear" w:color="auto" w:fill="auto"/>
          <w:lang w:val="ru-RU" w:eastAsia="ru-RU" w:bidi="ru-RU"/>
        </w:rPr>
        <w:t>цена контракта, сумма цен единиц товара, работы, услуги;</w:t>
      </w:r>
    </w:p>
    <w:p>
      <w:pPr>
        <w:pStyle w:val="Style10"/>
        <w:keepNext w:val="0"/>
        <w:keepLines w:val="0"/>
        <w:widowControl w:val="0"/>
        <w:numPr>
          <w:ilvl w:val="0"/>
          <w:numId w:val="5"/>
        </w:numPr>
        <w:shd w:val="clear" w:color="auto" w:fill="auto"/>
        <w:tabs>
          <w:tab w:pos="1052" w:val="left"/>
        </w:tabs>
        <w:bidi w:val="0"/>
        <w:spacing w:before="0" w:after="0" w:line="240" w:lineRule="auto"/>
        <w:ind w:left="0" w:right="0" w:firstLine="700"/>
        <w:jc w:val="both"/>
      </w:pPr>
      <w:r>
        <w:rPr>
          <w:color w:val="000000"/>
          <w:spacing w:val="0"/>
          <w:w w:val="100"/>
          <w:position w:val="0"/>
          <w:shd w:val="clear" w:color="auto" w:fill="auto"/>
          <w:lang w:val="ru-RU" w:eastAsia="ru-RU" w:bidi="ru-RU"/>
        </w:rPr>
        <w:t>расходы на эксплуатацию и ремонт товаров, использование результатов работ;</w:t>
      </w:r>
    </w:p>
    <w:p>
      <w:pPr>
        <w:pStyle w:val="Style10"/>
        <w:keepNext w:val="0"/>
        <w:keepLines w:val="0"/>
        <w:widowControl w:val="0"/>
        <w:numPr>
          <w:ilvl w:val="0"/>
          <w:numId w:val="5"/>
        </w:numPr>
        <w:shd w:val="clear" w:color="auto" w:fill="auto"/>
        <w:tabs>
          <w:tab w:pos="1052"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качественные, функциональные и экологические характеристики объекта закупки;</w:t>
      </w:r>
    </w:p>
    <w:p>
      <w:pPr>
        <w:pStyle w:val="Style10"/>
        <w:keepNext w:val="0"/>
        <w:keepLines w:val="0"/>
        <w:widowControl w:val="0"/>
        <w:numPr>
          <w:ilvl w:val="0"/>
          <w:numId w:val="5"/>
        </w:numPr>
        <w:shd w:val="clear" w:color="auto" w:fill="auto"/>
        <w:tabs>
          <w:tab w:pos="1052"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pPr>
        <w:pStyle w:val="Style10"/>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силу части 8 статьи 32 Закона о контрактной системе Порядок оценки заявок участников закупки, в том числе предельные величины значимости каждого критерия, устанавливается Правительством Российской Федерации.</w:t>
      </w:r>
    </w:p>
    <w:p>
      <w:pPr>
        <w:pStyle w:val="Style10"/>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Положение об оценке заявок на участие в закупке товаров, работ, услуг для обеспечения государственных и муниципальных нужд утверждено Постановлением Правительства РФ от 31.12.2021 И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И 2369 и признании утратившими силу некоторых актов и отдельных положений некоторых актов Правительства Российской Федерации» (далее - Положение).</w:t>
      </w:r>
    </w:p>
    <w:p>
      <w:pPr>
        <w:pStyle w:val="Style10"/>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соответствии с пп. «в» п. 24 Постановления №2604, для оценки заявок по критерию оценки "квалификация участников закупки" могут применяться, если иное не предусмотрено настоящим Положением, один или несколько из следующих показателей оценки: в) наличие у участников закупки опыта поставки товара, выполнения работы, оказания услуги, связанного с предметом контракта.</w:t>
      </w:r>
    </w:p>
    <w:p>
      <w:pPr>
        <w:pStyle w:val="Style10"/>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Согласно пп. «в» п. 31 Постановления Правительства РФ №2604, документом, предусмотренным приложением И 1 к настоящему Положению, в отношении показателя оценки, предусмотренного подпунктом "в" пункта 24 настоящего Положения, его детализирующих показателей устанавливается положение о принятии к оценке исключительно исполненного договора (договоров), предусматривающего выполнение работ на одном из следующих объектов, соответствующих объекту закупки:</w:t>
      </w:r>
    </w:p>
    <w:p>
      <w:pPr>
        <w:pStyle w:val="Style10"/>
        <w:keepNext w:val="0"/>
        <w:keepLines w:val="0"/>
        <w:widowControl w:val="0"/>
        <w:shd w:val="clear" w:color="auto" w:fill="auto"/>
        <w:bidi w:val="0"/>
        <w:spacing w:before="0" w:after="0" w:line="240" w:lineRule="auto"/>
        <w:ind w:left="0" w:right="0" w:firstLine="680"/>
        <w:jc w:val="both"/>
      </w:pPr>
      <w:r>
        <w:rPr>
          <w:color w:val="000000"/>
          <w:spacing w:val="0"/>
          <w:w w:val="100"/>
          <w:position w:val="0"/>
          <w:shd w:val="clear" w:color="auto" w:fill="auto"/>
          <w:lang w:val="ru-RU" w:eastAsia="ru-RU" w:bidi="ru-RU"/>
        </w:rPr>
        <w:t>объект капитального строительства (за исключением линейного объекта);</w:t>
      </w:r>
    </w:p>
    <w:p>
      <w:pPr>
        <w:pStyle w:val="Style10"/>
        <w:keepNext w:val="0"/>
        <w:keepLines w:val="0"/>
        <w:widowControl w:val="0"/>
        <w:shd w:val="clear" w:color="auto" w:fill="auto"/>
        <w:bidi w:val="0"/>
        <w:spacing w:before="0" w:after="0" w:line="240" w:lineRule="auto"/>
        <w:ind w:left="0" w:right="0" w:firstLine="680"/>
        <w:jc w:val="both"/>
      </w:pPr>
      <w:r>
        <w:rPr>
          <w:color w:val="000000"/>
          <w:spacing w:val="0"/>
          <w:w w:val="100"/>
          <w:position w:val="0"/>
          <w:shd w:val="clear" w:color="auto" w:fill="auto"/>
          <w:lang w:val="ru-RU" w:eastAsia="ru-RU" w:bidi="ru-RU"/>
        </w:rPr>
        <w:t>линейный объект, за исключением автомобильной дороги;</w:t>
      </w:r>
    </w:p>
    <w:p>
      <w:pPr>
        <w:pStyle w:val="Style10"/>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автомобильная дорога;</w:t>
      </w:r>
    </w:p>
    <w:p>
      <w:pPr>
        <w:pStyle w:val="Style10"/>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особо опасный, технически сложный и уникальный объект капитального строительства;</w:t>
      </w:r>
    </w:p>
    <w:p>
      <w:pPr>
        <w:pStyle w:val="Style10"/>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объект культурного наследия (памятник истории и культуры) народов Российской Федерации.</w:t>
      </w:r>
    </w:p>
    <w:p>
      <w:pPr>
        <w:pStyle w:val="Style10"/>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 xml:space="preserve">Согласно порядку рассмотрения и оценки заявок на участие в конкурсе Заказчиком по критерию оценки «Квалификация участников закупки, в том числе наличие у них финансовых ресурсов, оборудования и других материальных ресурсов на праве собственности или ином законном основании, опыта оказания услуг, </w:t>
      </w:r>
      <w:r>
        <w:rPr>
          <w:color w:val="000000"/>
          <w:spacing w:val="0"/>
          <w:w w:val="100"/>
          <w:position w:val="0"/>
          <w:shd w:val="clear" w:color="auto" w:fill="auto"/>
          <w:lang w:val="ru-RU" w:eastAsia="ru-RU" w:bidi="ru-RU"/>
        </w:rPr>
        <w:t>связанного с предметом контракта (договора), и деловой репутации, специалистов и иных работников определенного уровня квалификации» по показателю «наличие у участника закупки опыта работы, связанного с предметом контракта» установлено, что к оценке принимается исключительно исполненные контракты и/или договоры соответствующих объекту закупки, предусматривающий выполнение работ по строительству, реконструкции, капитальному ремонту, сносу объекта капитального строительства (в том числе линейного объекта), проведение работ по сохранению объектов культурного наследия (памятников истории и культуры) народов Российской Федерации.</w:t>
      </w:r>
    </w:p>
    <w:p>
      <w:pPr>
        <w:pStyle w:val="Style10"/>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При этом, также заказчиком не установлено положение о принятии к оценке исключительно исполненного договора (договоров), предусматривающего выполнение работ на объекте капитального строительства (за исключением линейного объекта).</w:t>
      </w:r>
    </w:p>
    <w:p>
      <w:pPr>
        <w:pStyle w:val="Style10"/>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Таким образом, заказчиком допущены нарушения ч. 1 ст. 32, пп. «в» п. 31 Постановления Правительства РФ № 2604, а именно, установлен неправомерный порядок оценки и рассмотрения заявок в части, касающейся подтверждения опыта работы, связанного с предметом контракта.</w:t>
      </w:r>
    </w:p>
    <w:p>
      <w:pPr>
        <w:pStyle w:val="Style10"/>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Довод признан обоснованным.</w:t>
      </w:r>
    </w:p>
    <w:p>
      <w:pPr>
        <w:pStyle w:val="Style10"/>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Учитывая вышеизложенное, Комиссия Татарстанского УФАС России принимает решение о необходимости выдачи заказчику предписания об устранении выявленных нарушений.</w:t>
      </w:r>
    </w:p>
    <w:p>
      <w:pPr>
        <w:pStyle w:val="Style10"/>
        <w:keepNext w:val="0"/>
        <w:keepLines w:val="0"/>
        <w:widowControl w:val="0"/>
        <w:shd w:val="clear" w:color="auto" w:fill="auto"/>
        <w:bidi w:val="0"/>
        <w:spacing w:before="0" w:after="300" w:line="240" w:lineRule="auto"/>
        <w:ind w:left="0" w:right="0" w:firstLine="700"/>
        <w:jc w:val="both"/>
      </w:pPr>
      <w:r>
        <w:rPr>
          <w:color w:val="000000"/>
          <w:spacing w:val="0"/>
          <w:w w:val="100"/>
          <w:position w:val="0"/>
          <w:shd w:val="clear" w:color="auto" w:fill="auto"/>
          <w:lang w:val="ru-RU" w:eastAsia="ru-RU" w:bidi="ru-RU"/>
        </w:rPr>
        <w:t>На основании вышеизложенного, руководствуясь пунктом 2 части 22 статьи 99, частью 8 статьи 106 Федерального закона от 05.04.2013г. № 44-ФЗ «О контрактной системе в сфере закупок товаров, работ, услуг для обеспечения государственных и муниципальных нужд», Комиссия</w:t>
      </w:r>
    </w:p>
    <w:p>
      <w:pPr>
        <w:pStyle w:val="Style10"/>
        <w:keepNext w:val="0"/>
        <w:keepLines w:val="0"/>
        <w:widowControl w:val="0"/>
        <w:shd w:val="clear" w:color="auto" w:fill="auto"/>
        <w:bidi w:val="0"/>
        <w:spacing w:before="0" w:after="300" w:line="240" w:lineRule="auto"/>
        <w:ind w:left="0" w:right="0" w:firstLine="0"/>
        <w:jc w:val="center"/>
      </w:pPr>
      <w:r>
        <w:rPr>
          <w:color w:val="000000"/>
          <w:spacing w:val="0"/>
          <w:w w:val="100"/>
          <w:position w:val="0"/>
          <w:shd w:val="clear" w:color="auto" w:fill="auto"/>
          <w:lang w:val="ru-RU" w:eastAsia="ru-RU" w:bidi="ru-RU"/>
        </w:rPr>
        <w:t>РЕШИЛА:</w:t>
      </w:r>
    </w:p>
    <w:p>
      <w:pPr>
        <w:pStyle w:val="Style10"/>
        <w:keepNext w:val="0"/>
        <w:keepLines w:val="0"/>
        <w:widowControl w:val="0"/>
        <w:numPr>
          <w:ilvl w:val="0"/>
          <w:numId w:val="7"/>
        </w:numPr>
        <w:shd w:val="clear" w:color="auto" w:fill="auto"/>
        <w:tabs>
          <w:tab w:pos="1042"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Признать жалобу ОБЩЕСТВО С ОГРАНИЧЕННОЙ ОТВЕТСТВЕННОСТЬЮ "БРОКЕР ГРУПП" (вх. №11454/ж от 25.10.2024 г.) (в ЕИС 24.10.2024) на действия заказчика ФЕДЕРАЛЬНОЕ ГОСУДАРСТВЕННОЕ БЮДЖЕТНОЕ УЧРЕЖДЕНИЕ НАУКИ "ФЕДЕРАЛЬНЫЙ ИССЛЕДОВАТЕЛЬСКИЙ ЦЕНТР "КАЗАНСКИЙ НАУЧНЫЙ ЦЕНТР РОССИЙСКОЙ АКАДЕМИИ НАУК" при проведении закупки по извещению № 0311100009824000028 на предмет: Выполнение работ по капитальному ремонту ранее существующих систем вентиляции, частично обоснованной по 1,3,4 доводам.</w:t>
      </w:r>
    </w:p>
    <w:p>
      <w:pPr>
        <w:pStyle w:val="Style10"/>
        <w:keepNext w:val="0"/>
        <w:keepLines w:val="0"/>
        <w:widowControl w:val="0"/>
        <w:numPr>
          <w:ilvl w:val="0"/>
          <w:numId w:val="7"/>
        </w:numPr>
        <w:shd w:val="clear" w:color="auto" w:fill="auto"/>
        <w:tabs>
          <w:tab w:pos="1038"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Признать заказчика ФЕДЕРАЛЬНОЕ ГОСУДАРСТВЕННОЕ БЮДЖЕТНОЕ УЧРЕЖДЕНИЕ НАУКИ "ФЕДЕРАЛЬНЫЙ ИССЛЕДОВАТЕЛЬСКИЙ ЦЕНТР "КАЗАНСКИЙ НАУЧНЫЙ ЦЕНТР РОССИЙСКОЙ АКАДЕМИИ НАУК" нарушившим требования ч. 2 ст. 31, 3 ч. 1 ст. 7, ч. 1 ст. 32 Федерального закона от 05.04.2013г. № 44-ФЗ «О контрактной системе в сфере закупок товаров, работ, услуг для обеспечения государственных и муниципальных нужд», пп. «в» п. 31 Постановления Правительства РФ № 2604.</w:t>
      </w:r>
    </w:p>
    <w:p>
      <w:pPr>
        <w:pStyle w:val="Style10"/>
        <w:keepNext w:val="0"/>
        <w:keepLines w:val="0"/>
        <w:widowControl w:val="0"/>
        <w:numPr>
          <w:ilvl w:val="0"/>
          <w:numId w:val="7"/>
        </w:numPr>
        <w:shd w:val="clear" w:color="auto" w:fill="auto"/>
        <w:tabs>
          <w:tab w:pos="1626" w:val="left"/>
        </w:tabs>
        <w:bidi w:val="0"/>
        <w:spacing w:before="0" w:after="300" w:line="240" w:lineRule="auto"/>
        <w:ind w:left="0" w:right="0" w:firstLine="700"/>
        <w:jc w:val="both"/>
      </w:pPr>
      <w:r>
        <w:rPr>
          <w:color w:val="000000"/>
          <w:spacing w:val="0"/>
          <w:w w:val="100"/>
          <w:position w:val="0"/>
          <w:shd w:val="clear" w:color="auto" w:fill="auto"/>
          <w:lang w:val="ru-RU" w:eastAsia="ru-RU" w:bidi="ru-RU"/>
        </w:rPr>
        <w:t>Выдать Предписание об устранении выявленных нарушений.</w:t>
      </w:r>
      <w:r>
        <w:br w:type="page"/>
      </w:r>
    </w:p>
    <w:p>
      <w:pPr>
        <w:pStyle w:val="Style10"/>
        <w:keepNext w:val="0"/>
        <w:keepLines w:val="0"/>
        <w:widowControl w:val="0"/>
        <w:numPr>
          <w:ilvl w:val="0"/>
          <w:numId w:val="7"/>
        </w:numPr>
        <w:shd w:val="clear" w:color="auto" w:fill="auto"/>
        <w:tabs>
          <w:tab w:pos="1117" w:val="left"/>
        </w:tabs>
        <w:bidi w:val="0"/>
        <w:spacing w:before="0" w:after="320" w:line="240" w:lineRule="auto"/>
        <w:ind w:left="0" w:right="0" w:firstLine="740"/>
        <w:jc w:val="both"/>
      </w:pPr>
      <w:r>
        <w:rPr>
          <w:color w:val="000000"/>
          <w:spacing w:val="0"/>
          <w:w w:val="100"/>
          <w:position w:val="0"/>
          <w:shd w:val="clear" w:color="auto" w:fill="auto"/>
          <w:lang w:val="ru-RU" w:eastAsia="ru-RU" w:bidi="ru-RU"/>
        </w:rPr>
        <w:t>Передать в установленном порядке материалы должностному лицу Управления Федеральной антимонопольной службы по Республике Татарстан для рассмотрения вопроса о необходимости возбуждения административного производства в отношении лиц, допустивших нарушение норм законодательства Российской Федерации о контрактной системе.</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Решение Комиссии может быть обжаловано в судебном порядке в течение трех</w:t>
      </w:r>
    </w:p>
    <w:p>
      <w:pPr>
        <w:pStyle w:val="Style10"/>
        <w:keepNext w:val="0"/>
        <w:keepLines w:val="0"/>
        <w:widowControl w:val="0"/>
        <w:shd w:val="clear" w:color="auto" w:fill="auto"/>
        <w:bidi w:val="0"/>
        <w:spacing w:before="0" w:after="960" w:line="240" w:lineRule="auto"/>
        <w:ind w:left="0" w:right="0" w:firstLine="0"/>
        <w:jc w:val="both"/>
      </w:pPr>
      <w:r>
        <w:drawing>
          <wp:anchor distT="0" distB="0" distL="114300" distR="1296670" simplePos="0" relativeHeight="125829383" behindDoc="0" locked="0" layoutInCell="1" allowOverlap="1">
            <wp:simplePos x="0" y="0"/>
            <wp:positionH relativeFrom="page">
              <wp:posOffset>3734435</wp:posOffset>
            </wp:positionH>
            <wp:positionV relativeFrom="paragraph">
              <wp:posOffset>63500</wp:posOffset>
            </wp:positionV>
            <wp:extent cx="1999615" cy="2444750"/>
            <wp:wrapSquare wrapText="left"/>
            <wp:docPr id="11" name="Shape 11"/>
            <a:graphic xmlns:a="http://schemas.openxmlformats.org/drawingml/2006/main">
              <a:graphicData uri="http://schemas.openxmlformats.org/drawingml/2006/picture">
                <pic:pic xmlns:pic="http://schemas.openxmlformats.org/drawingml/2006/picture">
                  <pic:nvPicPr>
                    <pic:cNvPr id="12" name="Picture box 12"/>
                    <pic:cNvPicPr/>
                  </pic:nvPicPr>
                  <pic:blipFill>
                    <a:blip r:embed="rId11"/>
                    <a:stretch/>
                  </pic:blipFill>
                  <pic:spPr>
                    <a:xfrm>
                      <a:ext cx="1999615" cy="244475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5776595</wp:posOffset>
                </wp:positionH>
                <wp:positionV relativeFrom="paragraph">
                  <wp:posOffset>837565</wp:posOffset>
                </wp:positionV>
                <wp:extent cx="1136650" cy="1036320"/>
                <wp:wrapNone/>
                <wp:docPr id="13" name="Shape 13"/>
                <a:graphic xmlns:a="http://schemas.openxmlformats.org/drawingml/2006/main">
                  <a:graphicData uri="http://schemas.microsoft.com/office/word/2010/wordprocessingShape">
                    <wps:wsp>
                      <wps:cNvSpPr txBox="1"/>
                      <wps:spPr>
                        <a:xfrm>
                          <a:ext cx="1136650" cy="1036320"/>
                        </a:xfrm>
                        <a:prstGeom prst="rect"/>
                        <a:noFill/>
                      </wps:spPr>
                      <wps:txbx>
                        <w:txbxContent>
                          <w:p>
                            <w:pPr>
                              <w:pStyle w:val="Style12"/>
                              <w:keepNext w:val="0"/>
                              <w:keepLines w:val="0"/>
                              <w:widowControl w:val="0"/>
                              <w:shd w:val="clear" w:color="auto" w:fill="auto"/>
                              <w:bidi w:val="0"/>
                              <w:spacing w:before="0" w:line="240" w:lineRule="auto"/>
                              <w:ind w:left="0" w:right="0" w:firstLine="0"/>
                              <w:jc w:val="right"/>
                            </w:pPr>
                            <w:r>
                              <w:rPr>
                                <w:color w:val="000000"/>
                                <w:spacing w:val="0"/>
                                <w:w w:val="100"/>
                                <w:position w:val="0"/>
                                <w:shd w:val="clear" w:color="auto" w:fill="auto"/>
                                <w:lang w:val="ru-RU" w:eastAsia="ru-RU" w:bidi="ru-RU"/>
                              </w:rPr>
                              <w:t>А.С. Кучеева</w:t>
                            </w:r>
                          </w:p>
                          <w:p>
                            <w:pPr>
                              <w:pStyle w:val="Style12"/>
                              <w:keepNext w:val="0"/>
                              <w:keepLines w:val="0"/>
                              <w:widowControl w:val="0"/>
                              <w:shd w:val="clear" w:color="auto" w:fill="auto"/>
                              <w:bidi w:val="0"/>
                              <w:spacing w:before="0" w:line="240" w:lineRule="auto"/>
                              <w:ind w:left="0" w:right="0" w:firstLine="0"/>
                              <w:jc w:val="right"/>
                            </w:pPr>
                            <w:r>
                              <w:rPr>
                                <w:color w:val="000000"/>
                                <w:spacing w:val="0"/>
                                <w:w w:val="100"/>
                                <w:position w:val="0"/>
                                <w:shd w:val="clear" w:color="auto" w:fill="auto"/>
                                <w:lang w:val="ru-RU" w:eastAsia="ru-RU" w:bidi="ru-RU"/>
                              </w:rPr>
                              <w:t>Г.Р. Курмаева</w:t>
                            </w:r>
                          </w:p>
                          <w:p>
                            <w:pPr>
                              <w:pStyle w:val="Style12"/>
                              <w:keepNext w:val="0"/>
                              <w:keepLines w:val="0"/>
                              <w:widowControl w:val="0"/>
                              <w:shd w:val="clear" w:color="auto" w:fill="auto"/>
                              <w:bidi w:val="0"/>
                              <w:spacing w:before="0" w:line="240" w:lineRule="auto"/>
                              <w:ind w:left="0" w:right="0" w:firstLine="0"/>
                              <w:jc w:val="center"/>
                            </w:pPr>
                            <w:r>
                              <w:rPr>
                                <w:color w:val="000000"/>
                                <w:spacing w:val="0"/>
                                <w:w w:val="100"/>
                                <w:position w:val="0"/>
                                <w:shd w:val="clear" w:color="auto" w:fill="auto"/>
                                <w:lang w:val="ru-RU" w:eastAsia="ru-RU" w:bidi="ru-RU"/>
                              </w:rPr>
                              <w:t>И.Г. Никитина</w:t>
                            </w:r>
                          </w:p>
                        </w:txbxContent>
                      </wps:txbx>
                      <wps:bodyPr lIns="0" tIns="0" rIns="0" bIns="0">
                        <a:noAutoFit/>
                      </wps:bodyPr>
                    </wps:wsp>
                  </a:graphicData>
                </a:graphic>
              </wp:anchor>
            </w:drawing>
          </mc:Choice>
          <mc:Fallback>
            <w:pict>
              <v:shape id="_x0000_s1039" type="#_x0000_t202" style="position:absolute;margin-left:454.85000000000002pt;margin-top:65.950000000000003pt;width:89.5pt;height:81.600000000000009pt;z-index:251657729;mso-wrap-distance-left:0;mso-wrap-distance-right:0;mso-position-horizontal-relative:page" filled="f" stroked="f">
                <v:textbox inset="0,0,0,0">
                  <w:txbxContent>
                    <w:p>
                      <w:pPr>
                        <w:pStyle w:val="Style12"/>
                        <w:keepNext w:val="0"/>
                        <w:keepLines w:val="0"/>
                        <w:widowControl w:val="0"/>
                        <w:shd w:val="clear" w:color="auto" w:fill="auto"/>
                        <w:bidi w:val="0"/>
                        <w:spacing w:before="0" w:line="240" w:lineRule="auto"/>
                        <w:ind w:left="0" w:right="0" w:firstLine="0"/>
                        <w:jc w:val="right"/>
                      </w:pPr>
                      <w:r>
                        <w:rPr>
                          <w:color w:val="000000"/>
                          <w:spacing w:val="0"/>
                          <w:w w:val="100"/>
                          <w:position w:val="0"/>
                          <w:shd w:val="clear" w:color="auto" w:fill="auto"/>
                          <w:lang w:val="ru-RU" w:eastAsia="ru-RU" w:bidi="ru-RU"/>
                        </w:rPr>
                        <w:t>А.С. Кучеева</w:t>
                      </w:r>
                    </w:p>
                    <w:p>
                      <w:pPr>
                        <w:pStyle w:val="Style12"/>
                        <w:keepNext w:val="0"/>
                        <w:keepLines w:val="0"/>
                        <w:widowControl w:val="0"/>
                        <w:shd w:val="clear" w:color="auto" w:fill="auto"/>
                        <w:bidi w:val="0"/>
                        <w:spacing w:before="0" w:line="240" w:lineRule="auto"/>
                        <w:ind w:left="0" w:right="0" w:firstLine="0"/>
                        <w:jc w:val="right"/>
                      </w:pPr>
                      <w:r>
                        <w:rPr>
                          <w:color w:val="000000"/>
                          <w:spacing w:val="0"/>
                          <w:w w:val="100"/>
                          <w:position w:val="0"/>
                          <w:shd w:val="clear" w:color="auto" w:fill="auto"/>
                          <w:lang w:val="ru-RU" w:eastAsia="ru-RU" w:bidi="ru-RU"/>
                        </w:rPr>
                        <w:t>Г.Р. Курмаева</w:t>
                      </w:r>
                    </w:p>
                    <w:p>
                      <w:pPr>
                        <w:pStyle w:val="Style12"/>
                        <w:keepNext w:val="0"/>
                        <w:keepLines w:val="0"/>
                        <w:widowControl w:val="0"/>
                        <w:shd w:val="clear" w:color="auto" w:fill="auto"/>
                        <w:bidi w:val="0"/>
                        <w:spacing w:before="0" w:line="240" w:lineRule="auto"/>
                        <w:ind w:left="0" w:right="0" w:firstLine="0"/>
                        <w:jc w:val="center"/>
                      </w:pPr>
                      <w:r>
                        <w:rPr>
                          <w:color w:val="000000"/>
                          <w:spacing w:val="0"/>
                          <w:w w:val="100"/>
                          <w:position w:val="0"/>
                          <w:shd w:val="clear" w:color="auto" w:fill="auto"/>
                          <w:lang w:val="ru-RU" w:eastAsia="ru-RU" w:bidi="ru-RU"/>
                        </w:rPr>
                        <w:t>И.Г. Никитина</w:t>
                      </w:r>
                    </w:p>
                  </w:txbxContent>
                </v:textbox>
                <w10:wrap anchorx="page"/>
              </v:shape>
            </w:pict>
          </mc:Fallback>
        </mc:AlternateContent>
      </w:r>
      <w:r>
        <w:rPr>
          <w:color w:val="000000"/>
          <w:spacing w:val="0"/>
          <w:w w:val="100"/>
          <w:position w:val="0"/>
          <w:shd w:val="clear" w:color="auto" w:fill="auto"/>
          <w:lang w:val="ru-RU" w:eastAsia="ru-RU" w:bidi="ru-RU"/>
        </w:rPr>
        <w:t>месяцев со дня его принятия.</w:t>
      </w:r>
    </w:p>
    <w:p>
      <w:pPr>
        <w:pStyle w:val="Style10"/>
        <w:keepNext w:val="0"/>
        <w:keepLines w:val="0"/>
        <w:widowControl w:val="0"/>
        <w:shd w:val="clear" w:color="auto" w:fill="auto"/>
        <w:bidi w:val="0"/>
        <w:spacing w:before="0" w:after="320" w:line="240" w:lineRule="auto"/>
        <w:ind w:left="0" w:right="0" w:firstLine="0"/>
        <w:jc w:val="both"/>
      </w:pPr>
      <w:r>
        <w:rPr>
          <w:color w:val="000000"/>
          <w:spacing w:val="0"/>
          <w:w w:val="100"/>
          <w:position w:val="0"/>
          <w:shd w:val="clear" w:color="auto" w:fill="auto"/>
          <w:lang w:val="ru-RU" w:eastAsia="ru-RU" w:bidi="ru-RU"/>
        </w:rPr>
        <w:t>Зам.Председателя Комиссии:</w:t>
      </w:r>
    </w:p>
    <w:p>
      <w:pPr>
        <w:pStyle w:val="Style10"/>
        <w:keepNext w:val="0"/>
        <w:keepLines w:val="0"/>
        <w:widowControl w:val="0"/>
        <w:shd w:val="clear" w:color="auto" w:fill="auto"/>
        <w:bidi w:val="0"/>
        <w:spacing w:before="0" w:after="7120" w:line="240" w:lineRule="auto"/>
        <w:ind w:left="0" w:right="0" w:firstLine="0"/>
        <w:jc w:val="both"/>
      </w:pPr>
      <w:r>
        <w:rPr>
          <w:color w:val="000000"/>
          <w:spacing w:val="0"/>
          <w:w w:val="100"/>
          <w:position w:val="0"/>
          <w:shd w:val="clear" w:color="auto" w:fill="auto"/>
          <w:lang w:val="ru-RU" w:eastAsia="ru-RU" w:bidi="ru-RU"/>
        </w:rPr>
        <w:t>Члены Комиссии:</w:t>
      </w:r>
    </w:p>
    <w:p>
      <w:pPr>
        <w:pStyle w:val="Style6"/>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Исп.: Курмаева Г.Р.8(843)293-10-89</w:t>
      </w:r>
    </w:p>
    <w:sectPr>
      <w:headerReference w:type="default" r:id="rId13"/>
      <w:footerReference w:type="default" r:id="rId14"/>
      <w:footnotePr>
        <w:pos w:val="pageBottom"/>
        <w:numFmt w:val="decimal"/>
        <w:numRestart w:val="continuous"/>
      </w:footnotePr>
      <w:pgSz w:w="11900" w:h="16840"/>
      <w:pgMar w:top="1145" w:right="737" w:bottom="1224" w:left="786" w:header="0" w:footer="796"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771525</wp:posOffset>
              </wp:positionH>
              <wp:positionV relativeFrom="page">
                <wp:posOffset>10322560</wp:posOffset>
              </wp:positionV>
              <wp:extent cx="567055" cy="118745"/>
              <wp:wrapNone/>
              <wp:docPr id="5" name="Shape 5"/>
              <a:graphic xmlns:a="http://schemas.openxmlformats.org/drawingml/2006/main">
                <a:graphicData uri="http://schemas.microsoft.com/office/word/2010/wordprocessingShape">
                  <wps:wsp>
                    <wps:cNvSpPr txBox="1"/>
                    <wps:spPr>
                      <a:xfrm>
                        <a:ext cx="567055" cy="118745"/>
                      </a:xfrm>
                      <a:prstGeom prst="rect"/>
                      <a:noFill/>
                    </wps:spPr>
                    <wps:txbx>
                      <w:txbxContent>
                        <w:p>
                          <w:pPr>
                            <w:pStyle w:val="Style20"/>
                            <w:keepNext w:val="0"/>
                            <w:keepLines w:val="0"/>
                            <w:widowControl w:val="0"/>
                            <w:shd w:val="clear" w:color="auto" w:fill="auto"/>
                            <w:bidi w:val="0"/>
                            <w:spacing w:before="0" w:after="0" w:line="240" w:lineRule="auto"/>
                            <w:ind w:left="0" w:right="0" w:firstLine="0"/>
                            <w:jc w:val="left"/>
                            <w:rPr>
                              <w:sz w:val="26"/>
                              <w:szCs w:val="26"/>
                            </w:rPr>
                          </w:pPr>
                          <w:r>
                            <w:rPr>
                              <w:color w:val="000000"/>
                              <w:spacing w:val="0"/>
                              <w:w w:val="100"/>
                              <w:position w:val="0"/>
                              <w:sz w:val="26"/>
                              <w:szCs w:val="26"/>
                              <w:shd w:val="clear" w:color="auto" w:fill="auto"/>
                              <w:lang w:val="ru-RU" w:eastAsia="ru-RU" w:bidi="ru-RU"/>
                            </w:rPr>
                            <w:t>239351</w:t>
                          </w:r>
                        </w:p>
                      </w:txbxContent>
                    </wps:txbx>
                    <wps:bodyPr wrap="none" lIns="0" tIns="0" rIns="0" bIns="0">
                      <a:spAutoFit/>
                    </wps:bodyPr>
                  </wps:wsp>
                </a:graphicData>
              </a:graphic>
            </wp:anchor>
          </w:drawing>
        </mc:Choice>
        <mc:Fallback>
          <w:pict>
            <v:shape id="_x0000_s1031" type="#_x0000_t202" style="position:absolute;margin-left:60.75pt;margin-top:812.80000000000007pt;width:44.649999999999999pt;height:9.3499999999999996pt;z-index:-188744061;mso-wrap-style:none;mso-wrap-distance-left:0;mso-wrap-distance-right:0;mso-position-horizontal-relative:page;mso-position-vertical-relative:page" wrapcoords="0 0" filled="f" stroked="f">
              <v:textbox style="mso-fit-shape-to-text:t" inset="0,0,0,0">
                <w:txbxContent>
                  <w:p>
                    <w:pPr>
                      <w:pStyle w:val="Style20"/>
                      <w:keepNext w:val="0"/>
                      <w:keepLines w:val="0"/>
                      <w:widowControl w:val="0"/>
                      <w:shd w:val="clear" w:color="auto" w:fill="auto"/>
                      <w:bidi w:val="0"/>
                      <w:spacing w:before="0" w:after="0" w:line="240" w:lineRule="auto"/>
                      <w:ind w:left="0" w:right="0" w:firstLine="0"/>
                      <w:jc w:val="left"/>
                      <w:rPr>
                        <w:sz w:val="26"/>
                        <w:szCs w:val="26"/>
                      </w:rPr>
                    </w:pPr>
                    <w:r>
                      <w:rPr>
                        <w:color w:val="000000"/>
                        <w:spacing w:val="0"/>
                        <w:w w:val="100"/>
                        <w:position w:val="0"/>
                        <w:sz w:val="26"/>
                        <w:szCs w:val="26"/>
                        <w:shd w:val="clear" w:color="auto" w:fill="auto"/>
                        <w:lang w:val="ru-RU" w:eastAsia="ru-RU" w:bidi="ru-RU"/>
                      </w:rPr>
                      <w:t>239351</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3761740</wp:posOffset>
              </wp:positionH>
              <wp:positionV relativeFrom="page">
                <wp:posOffset>559435</wp:posOffset>
              </wp:positionV>
              <wp:extent cx="64135" cy="103505"/>
              <wp:wrapNone/>
              <wp:docPr id="3" name="Shape 3"/>
              <a:graphic xmlns:a="http://schemas.openxmlformats.org/drawingml/2006/main">
                <a:graphicData uri="http://schemas.microsoft.com/office/word/2010/wordprocessingShape">
                  <wps:wsp>
                    <wps:cNvSpPr txBox="1"/>
                    <wps:spPr>
                      <a:xfrm>
                        <a:ext cx="64135" cy="103505"/>
                      </a:xfrm>
                      <a:prstGeom prst="rect"/>
                      <a:noFill/>
                    </wps:spPr>
                    <wps:txbx>
                      <w:txbxContent>
                        <w:p>
                          <w:pPr>
                            <w:pStyle w:val="Style20"/>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296.19999999999999pt;margin-top:44.050000000000004pt;width:5.0499999999999998pt;height:8.1500000000000004pt;z-index:-188744063;mso-wrap-style:none;mso-wrap-distance-left:0;mso-wrap-distance-right:0;mso-position-horizontal-relative:page;mso-position-vertical-relative:page" wrapcoords="0 0" filled="f" stroked="f">
              <v:textbox style="mso-fit-shape-to-text:t" inset="0,0,0,0">
                <w:txbxContent>
                  <w:p>
                    <w:pPr>
                      <w:pStyle w:val="Style20"/>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3773805</wp:posOffset>
              </wp:positionH>
              <wp:positionV relativeFrom="page">
                <wp:posOffset>407035</wp:posOffset>
              </wp:positionV>
              <wp:extent cx="54610" cy="103505"/>
              <wp:wrapNone/>
              <wp:docPr id="15" name="Shape 15"/>
              <a:graphic xmlns:a="http://schemas.openxmlformats.org/drawingml/2006/main">
                <a:graphicData uri="http://schemas.microsoft.com/office/word/2010/wordprocessingShape">
                  <wps:wsp>
                    <wps:cNvSpPr txBox="1"/>
                    <wps:spPr>
                      <a:xfrm>
                        <a:ext cx="54610" cy="103505"/>
                      </a:xfrm>
                      <a:prstGeom prst="rect"/>
                      <a:noFill/>
                    </wps:spPr>
                    <wps:txbx>
                      <w:txbxContent>
                        <w:p>
                          <w:pPr>
                            <w:pStyle w:val="Style20"/>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41" type="#_x0000_t202" style="position:absolute;margin-left:297.15000000000003pt;margin-top:32.049999999999997pt;width:4.2999999999999998pt;height:8.1500000000000004pt;z-index:-188744059;mso-wrap-style:none;mso-wrap-distance-left:0;mso-wrap-distance-right:0;mso-position-horizontal-relative:page;mso-position-vertical-relative:page" wrapcoords="0 0" filled="f" stroked="f">
              <v:textbox style="mso-fit-shape-to-text:t" inset="0,0,0,0">
                <w:txbxContent>
                  <w:p>
                    <w:pPr>
                      <w:pStyle w:val="Style20"/>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iCs/>
        <w:smallCaps w:val="0"/>
        <w:strike w:val="0"/>
        <w:color w:val="000000"/>
        <w:spacing w:val="0"/>
        <w:w w:val="100"/>
        <w:position w:val="0"/>
        <w:sz w:val="28"/>
        <w:szCs w:val="28"/>
        <w:u w:val="none"/>
        <w:shd w:val="clear" w:color="auto" w:fill="auto"/>
        <w:lang w:val="ru-RU" w:eastAsia="ru-RU" w:bidi="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3)_"/>
    <w:basedOn w:val="DefaultParagraphFont"/>
    <w:link w:val="Style2"/>
    <w:rPr>
      <w:rFonts w:ascii="Times New Roman" w:eastAsia="Times New Roman" w:hAnsi="Times New Roman" w:cs="Times New Roman"/>
      <w:b/>
      <w:bCs/>
      <w:i w:val="0"/>
      <w:iCs w:val="0"/>
      <w:smallCaps w:val="0"/>
      <w:strike w:val="0"/>
      <w:color w:val="6E92CB"/>
      <w:u w:val="none"/>
    </w:rPr>
  </w:style>
  <w:style w:type="character" w:customStyle="1" w:styleId="CharStyle5">
    <w:name w:val="Основной текст (2)_"/>
    <w:basedOn w:val="DefaultParagraphFont"/>
    <w:link w:val="Style4"/>
    <w:rPr>
      <w:rFonts w:ascii="Times New Roman" w:eastAsia="Times New Roman" w:hAnsi="Times New Roman" w:cs="Times New Roman"/>
      <w:b w:val="0"/>
      <w:bCs w:val="0"/>
      <w:i w:val="0"/>
      <w:iCs w:val="0"/>
      <w:smallCaps w:val="0"/>
      <w:strike w:val="0"/>
      <w:color w:val="4D6690"/>
      <w:sz w:val="15"/>
      <w:szCs w:val="15"/>
      <w:u w:val="none"/>
    </w:rPr>
  </w:style>
  <w:style w:type="character" w:customStyle="1" w:styleId="CharStyle7">
    <w:name w:val="Основной текст (4)_"/>
    <w:basedOn w:val="DefaultParagraphFont"/>
    <w:link w:val="Style6"/>
    <w:rPr>
      <w:rFonts w:ascii="Times New Roman" w:eastAsia="Times New Roman" w:hAnsi="Times New Roman" w:cs="Times New Roman"/>
      <w:b w:val="0"/>
      <w:bCs w:val="0"/>
      <w:i w:val="0"/>
      <w:iCs w:val="0"/>
      <w:smallCaps w:val="0"/>
      <w:strike w:val="0"/>
      <w:sz w:val="20"/>
      <w:szCs w:val="20"/>
      <w:u w:val="none"/>
    </w:rPr>
  </w:style>
  <w:style w:type="character" w:customStyle="1" w:styleId="CharStyle11">
    <w:name w:val="Основной текст_"/>
    <w:basedOn w:val="DefaultParagraphFont"/>
    <w:link w:val="Style10"/>
    <w:rPr>
      <w:rFonts w:ascii="Times New Roman" w:eastAsia="Times New Roman" w:hAnsi="Times New Roman" w:cs="Times New Roman"/>
      <w:b w:val="0"/>
      <w:bCs w:val="0"/>
      <w:i w:val="0"/>
      <w:iCs w:val="0"/>
      <w:smallCaps w:val="0"/>
      <w:strike w:val="0"/>
      <w:sz w:val="28"/>
      <w:szCs w:val="28"/>
      <w:u w:val="none"/>
    </w:rPr>
  </w:style>
  <w:style w:type="character" w:customStyle="1" w:styleId="CharStyle13">
    <w:name w:val="Подпись к картинке_"/>
    <w:basedOn w:val="DefaultParagraphFont"/>
    <w:link w:val="Style12"/>
    <w:rPr>
      <w:rFonts w:ascii="Times New Roman" w:eastAsia="Times New Roman" w:hAnsi="Times New Roman" w:cs="Times New Roman"/>
      <w:b w:val="0"/>
      <w:bCs w:val="0"/>
      <w:i w:val="0"/>
      <w:iCs w:val="0"/>
      <w:smallCaps w:val="0"/>
      <w:strike w:val="0"/>
      <w:sz w:val="28"/>
      <w:szCs w:val="28"/>
      <w:u w:val="none"/>
    </w:rPr>
  </w:style>
  <w:style w:type="character" w:customStyle="1" w:styleId="CharStyle17">
    <w:name w:val="Подпись к таблице_"/>
    <w:basedOn w:val="DefaultParagraphFont"/>
    <w:link w:val="Style16"/>
    <w:rPr>
      <w:rFonts w:ascii="Times New Roman" w:eastAsia="Times New Roman" w:hAnsi="Times New Roman" w:cs="Times New Roman"/>
      <w:b w:val="0"/>
      <w:bCs w:val="0"/>
      <w:i w:val="0"/>
      <w:iCs w:val="0"/>
      <w:smallCaps w:val="0"/>
      <w:strike w:val="0"/>
      <w:sz w:val="28"/>
      <w:szCs w:val="28"/>
      <w:u w:val="none"/>
    </w:rPr>
  </w:style>
  <w:style w:type="character" w:customStyle="1" w:styleId="CharStyle19">
    <w:name w:val="Другое_"/>
    <w:basedOn w:val="DefaultParagraphFont"/>
    <w:link w:val="Style18"/>
    <w:rPr>
      <w:rFonts w:ascii="Times New Roman" w:eastAsia="Times New Roman" w:hAnsi="Times New Roman" w:cs="Times New Roman"/>
      <w:b w:val="0"/>
      <w:bCs w:val="0"/>
      <w:i w:val="0"/>
      <w:iCs w:val="0"/>
      <w:smallCaps w:val="0"/>
      <w:strike w:val="0"/>
      <w:sz w:val="28"/>
      <w:szCs w:val="28"/>
      <w:u w:val="none"/>
    </w:rPr>
  </w:style>
  <w:style w:type="character" w:customStyle="1" w:styleId="CharStyle21">
    <w:name w:val="Колонтитул (2)_"/>
    <w:basedOn w:val="DefaultParagraphFont"/>
    <w:link w:val="Style20"/>
    <w:rPr>
      <w:rFonts w:ascii="Times New Roman" w:eastAsia="Times New Roman" w:hAnsi="Times New Roman" w:cs="Times New Roman"/>
      <w:b w:val="0"/>
      <w:bCs w:val="0"/>
      <w:i w:val="0"/>
      <w:iCs w:val="0"/>
      <w:smallCaps w:val="0"/>
      <w:strike w:val="0"/>
      <w:sz w:val="20"/>
      <w:szCs w:val="20"/>
      <w:u w:val="none"/>
    </w:rPr>
  </w:style>
  <w:style w:type="paragraph" w:customStyle="1" w:styleId="Style2">
    <w:name w:val="Основной текст (3)"/>
    <w:basedOn w:val="Normal"/>
    <w:link w:val="CharStyle3"/>
    <w:pPr>
      <w:widowControl w:val="0"/>
      <w:shd w:val="clear" w:color="auto" w:fill="auto"/>
      <w:spacing w:after="260"/>
      <w:jc w:val="center"/>
    </w:pPr>
    <w:rPr>
      <w:rFonts w:ascii="Times New Roman" w:eastAsia="Times New Roman" w:hAnsi="Times New Roman" w:cs="Times New Roman"/>
      <w:b/>
      <w:bCs/>
      <w:i w:val="0"/>
      <w:iCs w:val="0"/>
      <w:smallCaps w:val="0"/>
      <w:strike w:val="0"/>
      <w:color w:val="6E92CB"/>
      <w:u w:val="none"/>
    </w:rPr>
  </w:style>
  <w:style w:type="paragraph" w:customStyle="1" w:styleId="Style4">
    <w:name w:val="Основной текст (2)"/>
    <w:basedOn w:val="Normal"/>
    <w:link w:val="CharStyle5"/>
    <w:pPr>
      <w:widowControl w:val="0"/>
      <w:shd w:val="clear" w:color="auto" w:fill="auto"/>
      <w:spacing w:line="283" w:lineRule="auto"/>
      <w:jc w:val="center"/>
    </w:pPr>
    <w:rPr>
      <w:rFonts w:ascii="Times New Roman" w:eastAsia="Times New Roman" w:hAnsi="Times New Roman" w:cs="Times New Roman"/>
      <w:b w:val="0"/>
      <w:bCs w:val="0"/>
      <w:i w:val="0"/>
      <w:iCs w:val="0"/>
      <w:smallCaps w:val="0"/>
      <w:strike w:val="0"/>
      <w:color w:val="4D6690"/>
      <w:sz w:val="15"/>
      <w:szCs w:val="15"/>
      <w:u w:val="none"/>
    </w:rPr>
  </w:style>
  <w:style w:type="paragraph" w:customStyle="1" w:styleId="Style6">
    <w:name w:val="Основной текст (4)"/>
    <w:basedOn w:val="Normal"/>
    <w:link w:val="CharStyle7"/>
    <w:pPr>
      <w:widowControl w:val="0"/>
      <w:shd w:val="clear" w:color="auto" w:fill="auto"/>
      <w:spacing w:after="120"/>
    </w:pPr>
    <w:rPr>
      <w:rFonts w:ascii="Times New Roman" w:eastAsia="Times New Roman" w:hAnsi="Times New Roman" w:cs="Times New Roman"/>
      <w:b w:val="0"/>
      <w:bCs w:val="0"/>
      <w:i w:val="0"/>
      <w:iCs w:val="0"/>
      <w:smallCaps w:val="0"/>
      <w:strike w:val="0"/>
      <w:sz w:val="20"/>
      <w:szCs w:val="20"/>
      <w:u w:val="none"/>
    </w:rPr>
  </w:style>
  <w:style w:type="paragraph" w:customStyle="1" w:styleId="Style10">
    <w:name w:val="Основной текст"/>
    <w:basedOn w:val="Normal"/>
    <w:link w:val="CharStyle11"/>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2">
    <w:name w:val="Подпись к картинке"/>
    <w:basedOn w:val="Normal"/>
    <w:link w:val="CharStyle13"/>
    <w:pPr>
      <w:widowControl w:val="0"/>
      <w:shd w:val="clear" w:color="auto" w:fill="auto"/>
      <w:spacing w:after="320"/>
      <w:jc w:val="right"/>
    </w:pPr>
    <w:rPr>
      <w:rFonts w:ascii="Times New Roman" w:eastAsia="Times New Roman" w:hAnsi="Times New Roman" w:cs="Times New Roman"/>
      <w:b w:val="0"/>
      <w:bCs w:val="0"/>
      <w:i w:val="0"/>
      <w:iCs w:val="0"/>
      <w:smallCaps w:val="0"/>
      <w:strike w:val="0"/>
      <w:sz w:val="28"/>
      <w:szCs w:val="28"/>
      <w:u w:val="none"/>
    </w:rPr>
  </w:style>
  <w:style w:type="paragraph" w:customStyle="1" w:styleId="Style16">
    <w:name w:val="Подпись к таблице"/>
    <w:basedOn w:val="Normal"/>
    <w:link w:val="CharStyle17"/>
    <w:pPr>
      <w:widowControl w:val="0"/>
      <w:shd w:val="clear" w:color="auto" w:fill="auto"/>
      <w:ind w:firstLine="680"/>
    </w:pPr>
    <w:rPr>
      <w:rFonts w:ascii="Times New Roman" w:eastAsia="Times New Roman" w:hAnsi="Times New Roman" w:cs="Times New Roman"/>
      <w:b w:val="0"/>
      <w:bCs w:val="0"/>
      <w:i w:val="0"/>
      <w:iCs w:val="0"/>
      <w:smallCaps w:val="0"/>
      <w:strike w:val="0"/>
      <w:sz w:val="28"/>
      <w:szCs w:val="28"/>
      <w:u w:val="none"/>
    </w:rPr>
  </w:style>
  <w:style w:type="paragraph" w:customStyle="1" w:styleId="Style18">
    <w:name w:val="Другое"/>
    <w:basedOn w:val="Normal"/>
    <w:link w:val="CharStyle19"/>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20">
    <w:name w:val="Колонтитул (2)"/>
    <w:basedOn w:val="Normal"/>
    <w:link w:val="CharStyle21"/>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 Id="rId11" Type="http://schemas.openxmlformats.org/officeDocument/2006/relationships/image" Target="media/image2.jpeg"/><Relationship Id="rId12" Type="http://schemas.openxmlformats.org/officeDocument/2006/relationships/image" Target="media/image2.jpeg" TargetMode="External"/><Relationship Id="rId13" Type="http://schemas.openxmlformats.org/officeDocument/2006/relationships/header" Target="header3.xml"/><Relationship Id="rId14" Type="http://schemas.openxmlformats.org/officeDocument/2006/relationships/footer" Target="footer3.xml"/></Relationships>
</file>