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7"/>
          <w:szCs w:val="17"/>
        </w:rPr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610" w:right="1761" w:bottom="1231" w:left="1745" w:header="0" w:footer="3" w:gutter="0"/>
          <w:pgNumType w:start="1"/>
          <w:cols w:num="2" w:space="2693"/>
          <w:noEndnote/>
          <w:titlePg/>
          <w:rtlGutter w:val="0"/>
          <w:docGrid w:linePitch="360"/>
        </w:sect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АНТИМОНОПОЛЬН ЦЕРГЛЛТ</w:t>
      </w:r>
    </w:p>
    <w:p>
      <w:pPr>
        <w:widowControl w:val="0"/>
        <w:spacing w:line="40" w:lineRule="exact"/>
        <w:rPr>
          <w:sz w:val="3"/>
          <w:szCs w:val="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10" w:right="0" w:bottom="1231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1147445</wp:posOffset>
                </wp:positionH>
                <wp:positionV relativeFrom="paragraph">
                  <wp:posOffset>740410</wp:posOffset>
                </wp:positionV>
                <wp:extent cx="1786255" cy="41148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86255" cy="4114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ул. Лермонтова, д. 4, г. Элиста, 358000</w:t>
                              <w:br/>
                              <w:t>тел./факс: (847 22) 4-13-31</w:t>
                              <w:br/>
                              <w:t>е-таП: 1о08@(а8.§оу.ги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90.350000000000009pt;margin-top:58.300000000000004pt;width:140.65000000000001pt;height:32.3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ул. Лермонтова, д. 4, г. Элиста, 358000</w:t>
                        <w:br/>
                        <w:t>тел./факс: (847 22) 4-13-31</w:t>
                        <w:br/>
                        <w:t>е-таП: 1о08@(а8.§оу.ги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4783455</wp:posOffset>
                </wp:positionH>
                <wp:positionV relativeFrom="paragraph">
                  <wp:posOffset>12700</wp:posOffset>
                </wp:positionV>
                <wp:extent cx="1597025" cy="628015"/>
                <wp:wrapSquare wrapText="bothSides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97025" cy="628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 антимонопольн</w:t>
                              <w:br/>
                              <w:t>цергллтин</w:t>
                              <w:br/>
                              <w:t>Хальмг ТарИчар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УУЛДДГ ЗАЛЛТ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376.65000000000003pt;margin-top:1.pt;width:125.75pt;height:49.450000000000003pt;z-index:-12582937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 антимонопольн</w:t>
                        <w:br/>
                        <w:t>цергллтин</w:t>
                        <w:br/>
                        <w:t>Хальмг ТарИчар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УУЛДДГ ЗАЛЛТ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8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Республике Калмыкия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10" w:right="4367" w:bottom="1231" w:left="1097" w:header="0" w:footer="3" w:gutter="0"/>
          <w:cols w:space="720"/>
          <w:noEndnote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Лермонтова уульнц, 4 гер, Элст балЬсн, 358000</w:t>
        <w:br/>
        <w:t>тел./факс: (847 22) 4-13-31</w:t>
        <w:br/>
        <w:t>е-таП: 1о08@Газ.§оу.ги</w:t>
      </w:r>
    </w:p>
    <w:p>
      <w:pPr>
        <w:pStyle w:val="Style10"/>
        <w:keepNext/>
        <w:keepLines/>
        <w:framePr w:w="1430" w:h="365" w:wrap="none" w:vAnchor="text" w:hAnchor="page" w:x="1251" w:y="21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5.11.2024</w:t>
      </w:r>
      <w:bookmarkEnd w:id="0"/>
      <w:r>
        <w:fldChar w:fldCharType="end"/>
      </w:r>
    </w:p>
    <w:p>
      <w:pPr>
        <w:pStyle w:val="Style10"/>
        <w:keepNext/>
        <w:keepLines/>
        <w:framePr w:w="2270" w:h="365" w:wrap="none" w:vAnchor="text" w:hAnchor="page" w:x="309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НН/1632/24</w:t>
      </w:r>
      <w:bookmarkEnd w:id="2"/>
    </w:p>
    <w:p>
      <w:pPr>
        <w:pStyle w:val="Style12"/>
        <w:keepNext w:val="0"/>
        <w:keepLines w:val="0"/>
        <w:framePr w:w="1454" w:h="374" w:wrap="none" w:vAnchor="text" w:hAnchor="page" w:x="610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Заявитель:</w:t>
      </w:r>
    </w:p>
    <w:p>
      <w:pPr>
        <w:widowControl w:val="0"/>
        <w:spacing w:after="37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10" w:right="546" w:bottom="1216" w:left="109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Общество с ограниченной ответственностью «ФОРТХАН» хаках@ГогШап.ги;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1М1отШап@тай.ги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Заказчик:</w:t>
      </w:r>
      <w:bookmarkEnd w:id="4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Казенное учреждение Республики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Калмыкия «Главное управление капитального строительства» дикз@гк08.ги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Уполномоченный орган:</w:t>
      </w:r>
      <w:bookmarkEnd w:id="6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Служба регулирования контрактной системы в сфере закупок Республики Калмыкия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Гоппдо//а1&lt;ир1&lt;1@1паП.П1.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хакирИ@гк08.ги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Национальная электронная площадка:</w:t>
      </w:r>
      <w:bookmarkEnd w:id="8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5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«Фабрикант» аидйог8@е1:рхли, тГо@ГаЪпкапГги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center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№008/06/49-222/2024</w:t>
      </w:r>
      <w:bookmarkEnd w:id="1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решения объявлена - 31.10.2024г.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изготовлено в полном объеме - 05.11.2024г.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Калмыкия по контролю в сфере закупок товаров, работ, услуг для обеспечения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государственных и муниципальных нужд (далее - Комиссия Калмыцкого УФАС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России)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 - Ностаева Н.В., руководитель Калмыцкого УФАС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 ИНН</w:t>
      </w:r>
      <w:bookmarkEnd w:id="1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России,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 Комиссии- Мархадаева А.М., старший государственный инспектор Калмыцкого УФАС России,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 Комиссии- Басангова А.В., государственный инспектор Калмыцкого УФАС России.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посредством видео-конференц-связи представителей от: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Заявителя - Общества с ограниченной ответственностью «ФОРТХАН»- Агафонова Н.С. (доверенность от 30.10.2024г. №б/н); Легенькой А.Р. (доверенность от 30.10.2024г. №б/н);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Заказчика - Бюджетного учреждения Республики Калмыкия «Главное управление капитального строительства» - Буватинова С.Н. (доверенность от 04.10.2024г. №56); Санджиевой Л.В -начальника БУ РК «Республиканский госпиталь ветеранов войн»;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Уполномоченного органа — Бимбеевой А.В.., руководителя Службы регулирования контрактной системы в сфере закупок Республики Калмыкия;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Представителя заинтересованного лица ООО «Компания РМК» - Орловой Е.В. (доверенность от 30.10.2024г. №б/н).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4140" w:right="0" w:hanging="34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Рассмотрев в открытом заседании жалобу ООО «ФОРТХАН»,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Калмыцкое УФАС России 25 октября 2024 (вх.№3799-ЭП/24) года поступила жалоба от ООО «ФОРТХАН» на действия Заказчика - КУ РК «Главное управление капитального строительства»; Уполномоченного органа - Служба регулирования контрактной системы в сфере закупок Республики Калмыкия при проведении электронного аукциона по объекту: «Поставка медицинского оборудования (лот 2.19) в рамках строительства Республиканского госпиталя ветеранов войн с центром гериатрии и реабилитации расположенного по адресу: Республика Калмыкия, г. Элиста, Ярмарочный пруд», реестровый номер извещения №0105500000224001449.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считает, положения документации Заказчика не соответствуют требованиям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представил письменные пояснения (вх. № 3857-ЭП-24 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30.10.2024г.) по существу жалобы, согласно которым считают ее необоснованной.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Уполномоченный орган представил письменные пояснения (вх. №3834-ЭП/24 от 29.10.2024г.) по существу жалобы, согласно которым считают ее необоснованной.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Уведомлением от 28.10.2024г. рассмотрение жалобы ООО «ФОРТХАН» по существу было назначено на 30.10.2024г. в «14» часов «00» минут.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дату рассмотрения жалобы, процедура приостановлена.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связи с изучением материалов дела, Комиссия Калмыцкого УФАС России объявила перерыв до «15» часов «00» минут 31.10.2024г.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Калмыцкого УФАС России, рассмотрев все имеющиеся материалы дела, выслушав лиц, участвующих в рассмотрении, а также в ходе проведения внеплановой проверки установила следующее.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17.10.2024 года Уполномоченным органом на официальном сайте Российской Федерации в информационно-телекоммуникационной сети «Интернет» /а1&lt;ир1&lt;1.доу.П1 размещено извещение №0105500000224001449 при проведении электронного аукциона по объекту: «Поставка медицинского оборудования (лот 2.19) в рамках строительства Республиканского госпиталя ветеранов войн с центром гериатрии и реабилитации расположенного по адресу: Республика Калмыкия, г. Элиста, Ярмарочный пруд».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- 22 377 882 руб. 00 копеек.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и время окончания срока подачи заявок — 25.10.2024г. в 10:00.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проведения процедуры подачи предложений о цене контракта либо о сумме цен единиц товара, работы, услуги - 25.10.2024г.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подведения итогов определения поставщика (подрядчика, исполнителя) - 29.10.2024г.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рамках рассмотрения установлено следующее.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Согласно доводам жалобы Заявителя следует, что Заказчиком в документации об Аукционе установлены требования п. 1 ч. 1 ст. 33 Федерального закона № 44, в соответствии с которым, в описание объекта закупки (техническое задание) не должны включаться, в частности, требования к товарам при условии, что такие требования влекут за собой ограничение количества участников закупки.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9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опубликованным описанием объекта закупки, установлены,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1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частности, следующие требования к техническим характеристикам товара:</w:t>
      </w:r>
    </w:p>
    <w:tbl>
      <w:tblPr>
        <w:tblOverlap w:val="never"/>
        <w:jc w:val="center"/>
        <w:tblLayout w:type="fixed"/>
      </w:tblPr>
      <w:tblGrid>
        <w:gridCol w:w="1814"/>
        <w:gridCol w:w="3686"/>
        <w:gridCol w:w="4814"/>
      </w:tblGrid>
      <w:tr>
        <w:trPr>
          <w:trHeight w:val="56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№ п/п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Наименование функции или параметра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Требуемое значение параметра или наличие функции</w:t>
            </w:r>
          </w:p>
        </w:tc>
      </w:tr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3.1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Вид рентгеновского луча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Веерный луч</w:t>
            </w:r>
          </w:p>
        </w:tc>
      </w:tr>
      <w:tr>
        <w:trPr>
          <w:trHeight w:val="85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4.1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Анодное напряжение трубки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Не более 76 кВ, постоянное Или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Не более 100 кВ/140 кВ импульсное</w:t>
            </w:r>
          </w:p>
        </w:tc>
      </w:tr>
    </w:tbl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92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согласно проведённому анализу технических характеристик</w:t>
      </w:r>
    </w:p>
    <w:p>
      <w:pPr>
        <w:widowControl w:val="0"/>
        <w:spacing w:after="39" w:line="1" w:lineRule="exact"/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денситометров рентгеновских костных, производимых вышеуказанными производителями, они имеют следующие характеристики по вышеуказанным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6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требованиям:</w:t>
      </w:r>
    </w:p>
    <w:tbl>
      <w:tblPr>
        <w:tblOverlap w:val="never"/>
        <w:jc w:val="center"/>
        <w:tblLayout w:type="fixed"/>
      </w:tblPr>
      <w:tblGrid>
        <w:gridCol w:w="1546"/>
        <w:gridCol w:w="2299"/>
        <w:gridCol w:w="3178"/>
        <w:gridCol w:w="3293"/>
      </w:tblGrid>
      <w:tr>
        <w:trPr>
          <w:trHeight w:val="111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Наименован ие функции или параметра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Требуемое значение параметра или наличие функции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«Холоджик Инк.», США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«ДжиИ Медикал Системз Ультрасаунд энд Праймери Кеа Диагностикс, Эл-Эл-Си», США</w:t>
            </w:r>
          </w:p>
        </w:tc>
      </w:tr>
      <w:tr>
        <w:trPr>
          <w:trHeight w:val="167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Анодное напряжение трубки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Не более 76 кВ, постоянное Или Не более 100 кВ/140 кВ импульсное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100 кВ / 140 кВ, импульсное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76 кВ, постоянное</w:t>
            </w:r>
          </w:p>
        </w:tc>
      </w:tr>
      <w:tr>
        <w:trPr>
          <w:trHeight w:val="84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Вид рентгеновск ого луча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Веерный луч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Веерный луч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Веерный луч</w:t>
            </w:r>
          </w:p>
        </w:tc>
      </w:tr>
    </w:tbl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беря во внимание только эти два требования к техническим</w:t>
      </w:r>
    </w:p>
    <w:p>
      <w:pPr>
        <w:widowControl w:val="0"/>
        <w:spacing w:after="39" w:line="1" w:lineRule="exact"/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характеристикам товара, указанным требованиям соответствуют только денситометры рентгеновские костные двух производителей: «Холоджик Инк.», США и «ДжиИ Медикал Системз Ультрасаунд энд Праймери Кеа Диагностикс, Эл- Эл-Си», США.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9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согласно доводу жалобы, в описании объекта закупки также содержится следующее требование:</w:t>
      </w:r>
    </w:p>
    <w:tbl>
      <w:tblPr>
        <w:tblOverlap w:val="never"/>
        <w:jc w:val="center"/>
        <w:tblLayout w:type="fixed"/>
      </w:tblPr>
      <w:tblGrid>
        <w:gridCol w:w="1411"/>
        <w:gridCol w:w="3826"/>
        <w:gridCol w:w="4973"/>
      </w:tblGrid>
      <w:tr>
        <w:trPr>
          <w:trHeight w:val="56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№ п/п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Наименование функции или параметра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Требуемое значение параметра или наличие функции</w:t>
            </w:r>
          </w:p>
        </w:tc>
      </w:tr>
      <w:tr>
        <w:trPr>
          <w:trHeight w:val="1123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5.2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Минимальное время, затрачиваемое на сканирование позвоночника в переднезадней проекции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Не более 14 с</w:t>
            </w:r>
          </w:p>
        </w:tc>
      </w:tr>
    </w:tbl>
    <w:p>
      <w:pPr>
        <w:widowControl w:val="0"/>
        <w:spacing w:after="459" w:line="1" w:lineRule="exact"/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Таким образом, в совокупности указанным требованиям к характеристикам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товара соответствует только денситометр рентгеновский костный производства «Холоджик Инк.», США.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пояснениям Заказчика, все установленные характеристики к приобретаемому товару соответствуют его потребностям и обусловлены спецификой его работы, таким характеристикам соответствуют товары двух производителей Рентгеновский полноформатный денситометр РгосПду (вариант исполнения ПО РгоШду Рпшо) производитель "ДжиИ Меидкал Системз Ультрасаунд энд Праймери Кеа Диагностикс, Эл-Эл-Си", США, Мексика и Рентгеновский костный денситометр Н0^06IС ^^8СОVе^у №, производитель "Х", США.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Установленное требование к показателю Анодное напряжение трубки значимо для Заказчика. Анодное напряжение влияет на потребляемую мощность аппарата: при высоких значениях напряжения возрастает нагрузка на больничную сеть и эксплуатационные расходы.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износ оборудования, в частности износ рентгеновской трубки, может быть выше при высоких значениях напряжения.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рентгенографии существуют две стандартные проекции -прямая и боковая.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Прямая проекция - когда пациент стоит лицом к рентгеновской трубке или спиной, соответственно, это передняя и задняя прямая проекция.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Боковая проекция - когда больной поворачивается к аппарату левым или правым плечом, соответственно, это левая и правая боковые проекции.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Понятие «переднезаднее» относится к направлению прохождения лучей относительно пациента, противоположное направление - «заднепереднее».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в описании объекта закупки параметр «Минимальное время, затрачиваемое на сканирование позвоночника в переднезадней проекции» означает требование ко времени сканирования позвоночника в прямой передней проекции - когда пациент стоит лицом к рентгеновской трубке, а лучи проходят в переднезаднем направлении.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стр.374 инструкции:</w:t>
      </w:r>
      <w:r>
        <w:br w:type="page"/>
      </w:r>
    </w:p>
    <w:tbl>
      <w:tblPr>
        <w:tblOverlap w:val="never"/>
        <w:jc w:val="center"/>
        <w:tblLayout w:type="fixed"/>
      </w:tblPr>
      <w:tblGrid>
        <w:gridCol w:w="1142"/>
        <w:gridCol w:w="1013"/>
        <w:gridCol w:w="950"/>
        <w:gridCol w:w="1229"/>
        <w:gridCol w:w="1152"/>
        <w:gridCol w:w="1286"/>
      </w:tblGrid>
      <w:tr>
        <w:trPr>
          <w:trHeight w:val="137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3C3B3F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Учснгои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color w:val="272729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РежИМ</w:t>
            </w:r>
            <w:r>
              <w:rPr>
                <w:rFonts w:ascii="Arial" w:eastAsia="Arial" w:hAnsi="Arial" w:cs="Arial"/>
                <w:b/>
                <w:bCs/>
                <w:color w:val="272729"/>
                <w:spacing w:val="0"/>
                <w:w w:val="100"/>
                <w:position w:val="0"/>
                <w:sz w:val="14"/>
                <w:szCs w:val="14"/>
                <w:shd w:val="clear" w:color="auto" w:fill="auto"/>
                <w:vertAlign w:val="superscript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272729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Сила тона (нАР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272729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Типовая площадь измерении {Д ЕН Я Ш см)А</w:t>
            </w:r>
            <w:r>
              <w:rPr>
                <w:rFonts w:ascii="Arial" w:eastAsia="Arial" w:hAnsi="Arial" w:cs="Arial"/>
                <w:b/>
                <w:bCs/>
                <w:color w:val="272729"/>
                <w:spacing w:val="0"/>
                <w:w w:val="100"/>
                <w:position w:val="0"/>
                <w:sz w:val="16"/>
                <w:szCs w:val="16"/>
                <w:shd w:val="clear" w:color="auto" w:fill="auto"/>
                <w:vertAlign w:val="superscript"/>
                <w:lang w:val="ru-RU" w:eastAsia="ru-RU" w:bidi="ru-RU"/>
              </w:rPr>
              <w:t>!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272729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Время облучении |сек|’А!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272729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Расчетной дело облучения через кожу 1мкГр|«.т</w:t>
            </w:r>
          </w:p>
        </w:tc>
      </w:tr>
      <w:tr>
        <w:trPr>
          <w:trHeight w:val="136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b/>
                <w:bCs/>
                <w:color w:val="3C3B3F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ru-RU" w:eastAsia="ru-RU" w:bidi="ru-RU"/>
              </w:rPr>
              <w:t>АРУА (По- заонсчник И прямой И задней проекций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28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3C3B3F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Стандарт</w:t>
              <w:softHyphen/>
              <w:t>ный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24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3C3B3F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3.065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280" w:after="0" w:line="24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b/>
                <w:bCs/>
                <w:color w:val="3C3B3F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ЗЯ.7 к 15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24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3C3B3F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05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24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3C3B3F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37</w:t>
            </w:r>
          </w:p>
        </w:tc>
      </w:tr>
    </w:tbl>
    <w:p>
      <w:pPr>
        <w:widowControl w:val="0"/>
        <w:spacing w:after="119" w:line="1" w:lineRule="exact"/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2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Дословный перевод ЛРУЛ (Лп1епог-Ро81;епог Уег1еЪга1 Л|1аНч&lt;) - передне-задние позвоночные анализы, т.е. морфометрия позвоночника.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Данный пункт относится не к п.5.2 описания объекта закупки, а к п.8.11:</w:t>
      </w:r>
    </w:p>
    <w:tbl>
      <w:tblPr>
        <w:tblOverlap w:val="never"/>
        <w:jc w:val="left"/>
        <w:tblLayout w:type="fixed"/>
      </w:tblPr>
      <w:tblGrid>
        <w:gridCol w:w="1795"/>
        <w:gridCol w:w="6115"/>
        <w:gridCol w:w="1138"/>
      </w:tblGrid>
      <w:tr>
        <w:trPr>
          <w:trHeight w:val="57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4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8.11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Автоматическая морфометрия грудных и поясничных позвонков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Н аличие</w:t>
            </w:r>
          </w:p>
        </w:tc>
      </w:tr>
    </w:tbl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стр.371 инструкции (14 сек):</w:t>
      </w:r>
    </w:p>
    <w:p>
      <w:pPr>
        <w:widowControl w:val="0"/>
        <w:spacing w:after="17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138"/>
        <w:gridCol w:w="1027"/>
        <w:gridCol w:w="950"/>
        <w:gridCol w:w="1238"/>
        <w:gridCol w:w="1166"/>
        <w:gridCol w:w="1291"/>
      </w:tblGrid>
      <w:tr>
        <w:trPr>
          <w:trHeight w:val="137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b/>
                <w:bCs/>
                <w:color w:val="272729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Уч склок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272729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Режим</w:t>
            </w:r>
            <w:r>
              <w:rPr>
                <w:rFonts w:ascii="Arial" w:eastAsia="Arial" w:hAnsi="Arial" w:cs="Arial"/>
                <w:b/>
                <w:bCs/>
                <w:color w:val="272729"/>
                <w:spacing w:val="0"/>
                <w:w w:val="100"/>
                <w:position w:val="0"/>
                <w:sz w:val="16"/>
                <w:szCs w:val="16"/>
                <w:shd w:val="clear" w:color="auto" w:fill="auto"/>
                <w:vertAlign w:val="superscript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272729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Сила така (мДР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272729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Типе ия площадь измерения (Д см и ш с мН 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272729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Время облучения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272729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Расчетная дом облучения через кожу (мкГрк®-*</w:t>
            </w:r>
          </w:p>
        </w:tc>
      </w:tr>
      <w:tr>
        <w:trPr>
          <w:trHeight w:val="175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272729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 xml:space="preserve">АР </w:t>
            </w:r>
            <w:r>
              <w:rPr>
                <w:rFonts w:ascii="Arial" w:eastAsia="Arial" w:hAnsi="Arial" w:cs="Arial"/>
                <w:b/>
                <w:bCs/>
                <w:color w:val="3C3B3F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5р|пе (Поясниц</w:t>
              <w:softHyphen/>
            </w:r>
            <w:r>
              <w:rPr>
                <w:rFonts w:ascii="Arial" w:eastAsia="Arial" w:hAnsi="Arial" w:cs="Arial"/>
                <w:b/>
                <w:bCs/>
                <w:color w:val="3C3B3F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 xml:space="preserve">ей </w:t>
            </w:r>
            <w:r>
              <w:rPr>
                <w:rFonts w:ascii="Arial" w:eastAsia="Arial" w:hAnsi="Arial" w:cs="Arial"/>
                <w:b/>
                <w:bCs/>
                <w:color w:val="3C3B3F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отдел позвоно</w:t>
              <w:softHyphen/>
              <w:t xml:space="preserve">чника </w:t>
            </w:r>
            <w:r>
              <w:rPr>
                <w:rFonts w:ascii="Arial" w:eastAsia="Arial" w:hAnsi="Arial" w:cs="Arial"/>
                <w:b/>
                <w:bCs/>
                <w:color w:val="272729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 xml:space="preserve">в </w:t>
            </w:r>
            <w:r>
              <w:rPr>
                <w:rFonts w:ascii="Arial" w:eastAsia="Arial" w:hAnsi="Arial" w:cs="Arial"/>
                <w:b/>
                <w:bCs/>
                <w:color w:val="3C3B3F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примой проекции)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280" w:after="0" w:line="24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b/>
                <w:bCs/>
                <w:color w:val="3C3B3F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0и1ркУ1ем7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28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3C3B3F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3.000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300" w:after="0" w:line="24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b/>
                <w:bCs/>
                <w:color w:val="3C3B3F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Ц1иШ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28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color w:val="3C3B3F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14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280" w:after="0" w:line="24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b/>
                <w:bCs/>
                <w:color w:val="575757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12</w:t>
            </w:r>
          </w:p>
        </w:tc>
      </w:tr>
    </w:tbl>
    <w:p>
      <w:pPr>
        <w:widowControl w:val="0"/>
        <w:spacing w:after="179" w:line="1" w:lineRule="exact"/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Дословный перевод ЛР 8рте (ЛПепог-Ро&amp;епог 8рте) - передне-задний позвоночник, т.е. позвоночник в передне-задней проекции.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Именно данный показатель отражает время сканирования позвоночника в прямой передней проекции и соответствует п.5.2 описания объекта закупки (как это указывает в своей жалобе и заявитель).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практике прямую переднюю проекцию обычно называют просто прямой, тогда как прямую заднюю могут назвать просто задней, или прямой и задней. В инструкции на оборудование «ДжиИ Медикал Системз» прямая передняя проекция как раз указана просто как «прямая», тогда как задняя прямая указана как «прямая и задняя» - это стандартные сокращения, врачи не испытывают трудностей при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понимании подобных инструкций.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Дополнительно от производителя получено письмо от 29.10.2024 года, подтверждающее, что у денситометра РгоШду ДсКапсе значение характеристики Минимальное время, затрачиваемое на сканирование позвоночника в переднезадней проекции, составляет 14 секунд.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Комиссия, исследовав материалы дела, доводы заявителя, возражения заказчика, уполномоченного органа приходит к следующим выводам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3 части 1 статьи 3 Закона закупка товара, работы, услуги для обеспечения государственных или муниципальных нужд (далее - закупка) - совокупность действий, осуществляемых в установленном Законом порядке заказчиком и направленных на обеспечение государственных или муниципальных нужд.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1 статьи 49 Закона электронный аукцион начинается с размещения в единой информационной системе извещения об осуществлении закупки. Заявка на участие в закупке должна содержать информацию и документы, предусмотренные подпунктами "м" - "п" пункта 1, подпунктами "а" - "в" пункта 2, пунктом 5 части 1 статьи 43 Закона.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Заявка также может содержать информацию и документы, предусмотренные подпунктом "д" пункта 2 части 1 статьи 43 Закона.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пункту 5 части 1 статьи 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информацию (при наличии), предусмотренную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группировочные наименования.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5 статьи 23 Закона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6 статьи 23 Закона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- Правила формирования) и Правила использования каталога товаров, работ, услуг для обеспечения государственных и муниципальных нужд (далее - Правила использования), утверждены постановлением Правительства РФ от 08.02.2017 К 145 (далее - Постановление К 145).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извещению об осуществлении закупки объекту закупки присвоен код позиции КТРУ 26.60.11.119-00000001- Система рентгеновской костной денситометрии, двухэнергетическая.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0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КТРУ 26.60.11.119-00000001 не содержит обязательных для применения характеристик. Заказчиком составлено описание объекта закупки с теми характеристиками которые наиболее удовлетворяют потребность заказчика.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0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силу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п. 1 ч. 2 ст. 42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Закона о контрактной системе, извещение об осуществлении закупки, если иное не предусмотрено настоящим Федеральным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>законом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должно содержать описание объекта закупки в соответствии со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статьей 33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п. 1 ч. 1 ст. 33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Закона о контрактной системе,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вправе включить в документацию о проведении электронного аукциона такие характеристики товара, которые отвечают именно его потребностям. При этом заказчик вправе в необходимой степени детализировать предмет электронного аукциона. Законом о контрактной системе не предусмотрены ограничения по включению в документацию электронного аукциона требований к товарам, являющихся значимыми для заказчика, равно как и не предусмотрена обязанность заказчика обосновывать свои потребности при установлении требований к товарам и их характеристикам.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Изложенная позиция соответствует сложившейся практике (например, Постановления Арбитражного суда Восточно-Сибирского округа от 19.12.2017 по делу Ы А33-3232/2017, от 10.10.2017 по делу Ы А33-631/2017, Определение Верховного суда Российской Федерации от 16.10.2017 К 305-ЭС17-7844, Обзор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нужд, утв. Президиумом Верховного Суда РФ 28.06.2017).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6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Одной из целей Закона о контрактной системе является удовлетворение потребностей заказчика в товарах (работах, услугах), которые необходимы для осуществления своих функции, при соблюдении определенных установленных Законом о контрактной системе ограничений.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6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на рынке медицинских изделий запрашиваемая продукция находится в свободном доступе и поставляется различными организациями.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описании объекта закупки установлены требования к закупаемому товару с учетом собственных потребностей и исходя из специфики осуществляемой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деятельности Республиканского госпиталя ветеранов войн с центром гериатрии и реабилитации.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Федеральный закон №44-ФЗ не обязывает заказчика при определении характеристик поставляемого товара устанавливать такие характеристики, которые соответствовали бы всем существующим типам, видам, моделям, маркам товара, не предусматривает ограничения по включению требований к товарам, являющихся значимыми для заказчика, равно как и не предусматривает обязанность заказчика обосновывать свои потребности и причины при установлении требований к товарам и их характеристикам. Выбор показателей и характеристик объекта закупки остается за заказчиком.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Калмыцкого УФАС России считает, что область здравоохранения имеет специфическое и значимое положение, как для государства, так и для населения в целом, поскольку конечная цель деятельности, в том числе медицинских учреждений, обусловлена дачей эффективного и результативного лечения нуждающихся в том граждан.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при описании объекта закупки не имеет возможности установить требования к характеристикам товара, которые удовлетворяли бы всех возможных участников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формировании предмета закупки заказчик не обязан доказывать свою потребность в закупаемом товаре, а участники закупки не вправе в той или иной форме воздействовать на потребность заказчика, как не вправе определять и государственные нужды.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6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Невозможность отдельных участников закупок по каким-либо причинам конкурировать с иными участниками рынка не является поводом учитывать данные обстоятельства заказчиком при формировании описании объекта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8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Также Заявителем не представлено доказательств, что установленные Заказчиком требования необоснованно создали одним участникам закупки преимущество перед другими, являются непреодолимыми для некоторых участников закупки, а также каким-либо иным образом повлекли за собой ограничение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количества участников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6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Следует отметить, что Федеральная антимонопольная служба и ее территориальные органы не наделены полномочиями по определению и изменению потребностей заказчика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таких обстоятельствах, довод Заявителя признан необоснованным.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II. Заявитель утверждает, что поставка денситометра производства «Холоджик Инк.», США невозможна, так как денситометры рентгеновские костные производства «Холоджик Инк.», США, на которые имеются регистрационные удостоверения в реестре Росздравнадзора сняты с производства, а сам производитель перестал поставлять товары на территорию Российской Федерации и более не имеет официального дистрибьютора на территории Российской Федерации по указанным выше линейкам продукции, имеющей регистрационное удостоверение. Указанные факты подтверждаются официальным письмом производителя.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указывает, что оборудование Но1од1с снято с производства и фактически поставка невозможна, что влечет ограничение конкуренции.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пояснениям Заказчика установлено, что Регистрационное удостоверение на продукцию НО^ООIС действующее.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Предоставленное заявителем письмо от представительства НО^ООIС содержит информацию о том, что денситометры сняты с производства, но дата снятия с производства неизвестна.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Нельзя исключить ситуацию, что продукция уже ввезена в РФ до прекращения производства и находится на территории РФ на складе какого-нибудь поставщика. Или будет ввезена в РФ из остатков произведенной до прекращения производства продукции, извещением требование к году выпуска товара не установлено.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Ввиду чего, данный довод жалобы о том, что установление указанных выше требований ведёт к допущению нарушения п. 1 ч. 1 ст. 33 Федерального закона № 44, а именно, установление таких требований влечёт за собой ограничение количества участников закупки не нашел своего подтверждения и признается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необоснованным.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6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8 статьи 106 Закона о контрактной системе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предписания об устранении допущенных нарушений, предусмотренного пунктом 2 части 22 статьи 99 настоящего Федерального закона, о совершении иных действий, предусмотренных частью 22 статьи 99 настоящего Федерального закона.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6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Руководствуясь статьями 99,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нужд», Комиссия Калмыцкого УФАС России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240" w:line="360" w:lineRule="auto"/>
        <w:ind w:left="0" w:right="0" w:firstLine="0"/>
        <w:jc w:val="center"/>
      </w:pP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</w:t>
      </w:r>
      <w:bookmarkEnd w:id="14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Общества с ограниченной ответственностью «ФОРТХАН» на действия заказчика КУ РК «Главное управление капитального строительства» при проведении электронного аукциона по объекту: «Поставка медицинского оборудования (лот 2.19) в рамках строительства Республиканского госпиталя ветеранов войн с центром гериатрии и реабилитации расположенного по адресу: Республика Калмыкия, г. Элиста, Ярмарочный пруд», реестровый номер извещения №0105500000224001449., необоснованной.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Примечание: Согласно части 9 статьи 106 Федерального закона от 05.04.2013 ^ 44-ФЗ "О контрактной системе в сфере закупок товаров, работ, услуг для обеспечения государственных и муниципальных нужд" решение, принятое по результатам рассмотрения жалобы по существу, может быть обжаловано в судебном порядке в течение трех месяцев с даты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53" w:right="506" w:bottom="1188" w:left="106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17500" distB="259080" distL="0" distR="0" simplePos="0" relativeHeight="125829382" behindDoc="0" locked="0" layoutInCell="1" allowOverlap="1">
                <wp:simplePos x="0" y="0"/>
                <wp:positionH relativeFrom="page">
                  <wp:posOffset>741680</wp:posOffset>
                </wp:positionH>
                <wp:positionV relativeFrom="paragraph">
                  <wp:posOffset>317500</wp:posOffset>
                </wp:positionV>
                <wp:extent cx="1828800" cy="25019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399999999999999pt;margin-top:25.pt;width:144.pt;height:19.699999999999999pt;z-index:-125829371;mso-wrap-distance-left:0;mso-wrap-distance-top:25.pt;mso-wrap-distance-right:0;mso-wrap-distance-bottom:20.400000000000002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27355" distB="0" distL="0" distR="1789430" simplePos="0" relativeHeight="125829384" behindDoc="0" locked="0" layoutInCell="1" allowOverlap="1">
            <wp:simplePos x="0" y="0"/>
            <wp:positionH relativeFrom="page">
              <wp:posOffset>2738120</wp:posOffset>
            </wp:positionH>
            <wp:positionV relativeFrom="paragraph">
              <wp:posOffset>427355</wp:posOffset>
            </wp:positionV>
            <wp:extent cx="353695" cy="40259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369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3155950</wp:posOffset>
                </wp:positionH>
                <wp:positionV relativeFrom="paragraph">
                  <wp:posOffset>518795</wp:posOffset>
                </wp:positionV>
                <wp:extent cx="1725295" cy="2559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8.5pt;margin-top:40.850000000000001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17500" distB="259080" distL="0" distR="0" simplePos="0" relativeHeight="125829385" behindDoc="0" locked="0" layoutInCell="1" allowOverlap="1">
                <wp:simplePos x="0" y="0"/>
                <wp:positionH relativeFrom="page">
                  <wp:posOffset>6082030</wp:posOffset>
                </wp:positionH>
                <wp:positionV relativeFrom="paragraph">
                  <wp:posOffset>317500</wp:posOffset>
                </wp:positionV>
                <wp:extent cx="1115695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569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Н.В. Ностаева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78.90000000000003pt;margin-top:25.pt;width:87.850000000000009pt;height:19.699999999999999pt;z-index:-125829368;mso-wrap-distance-left:0;mso-wrap-distance-top:25.pt;mso-wrap-distance-right:0;mso-wrap-distance-bottom:20.400000000000002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Н.В. Ностаева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40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СЕРТИФИКАТЕ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4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60" w:right="0" w:firstLine="0"/>
        <w:jc w:val="left"/>
      </w:pP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57575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Ностаева Наталья Вячеславовна</w:t>
      </w:r>
    </w:p>
    <w:p>
      <w:pPr>
        <w:pStyle w:val="Style4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6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575757"/>
          <w:spacing w:val="0"/>
          <w:w w:val="100"/>
          <w:position w:val="0"/>
          <w:shd w:val="clear" w:color="auto" w:fill="auto"/>
          <w:lang w:val="ru-RU" w:eastAsia="ru-RU" w:bidi="ru-RU"/>
        </w:rPr>
        <w:t>2248ВВ8Е52Е9Е3592АЕЕЕ4В34О3312Е0</w:t>
      </w:r>
    </w:p>
    <w:p>
      <w:pPr>
        <w:pStyle w:val="Style4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326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41" w:bottom="1105" w:left="1077" w:header="0" w:footer="3" w:gutter="0"/>
          <w:cols w:space="720"/>
          <w:noEndnote/>
          <w:rtlGutter w:val="0"/>
          <w:docGrid w:linePitch="360"/>
        </w:sectPr>
      </w:pP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57575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04.07.2024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>27.09.2025</w:t>
      </w:r>
    </w:p>
    <w:p>
      <w:pPr>
        <w:pStyle w:val="Style12"/>
        <w:keepNext w:val="0"/>
        <w:keepLines w:val="0"/>
        <w:framePr w:w="2112" w:h="394" w:wrap="none" w:hAnchor="page" w:x="1160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5"/>
        <w:keepNext w:val="0"/>
        <w:keepLines w:val="0"/>
        <w:framePr w:w="2011" w:h="158" w:wrap="none" w:hAnchor="page" w:x="4914" w:y="1181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</w:pPr>
      <w:r>
        <w:rPr>
          <w:color w:val="E7E7E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СЕРТИФИКАТЕ </w:t>
      </w:r>
      <w:r>
        <w:rPr>
          <w:color w:val="E7E7E7"/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15"/>
        <w:keepNext w:val="0"/>
        <w:keepLines w:val="0"/>
        <w:framePr w:w="2717" w:h="403" w:wrap="none" w:hAnchor="page" w:x="4842" w:y="6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12"/>
        <w:keepNext w:val="0"/>
        <w:keepLines w:val="0"/>
        <w:framePr w:w="2136" w:h="394" w:wrap="none" w:hAnchor="page" w:x="9190" w:y="4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А.М. Мархадаева</w:t>
      </w:r>
    </w:p>
    <w:p>
      <w:pPr>
        <w:widowControl w:val="0"/>
        <w:spacing w:line="360" w:lineRule="exact"/>
      </w:pPr>
      <w:r>
        <w:drawing>
          <wp:anchor distT="0" distB="0" distL="0" distR="1789430" simplePos="0" relativeHeight="62914694" behindDoc="1" locked="0" layoutInCell="1" allowOverlap="1">
            <wp:simplePos x="0" y="0"/>
            <wp:positionH relativeFrom="page">
              <wp:posOffset>2656205</wp:posOffset>
            </wp:positionH>
            <wp:positionV relativeFrom="margin">
              <wp:posOffset>344170</wp:posOffset>
            </wp:positionV>
            <wp:extent cx="353695" cy="536575"/>
            <wp:wrapNone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666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916" w:right="574" w:bottom="966" w:left="1106" w:header="0" w:footer="3" w:gutter="0"/>
          <w:cols w:space="720"/>
          <w:noEndnote/>
          <w:rtlGutter w:val="0"/>
          <w:docGrid w:linePitch="360"/>
        </w:sectPr>
      </w:pPr>
    </w:p>
    <w:p>
      <w:pPr>
        <w:pStyle w:val="Style4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Мархадаева Анна Михайловна</w:t>
      </w:r>
    </w:p>
    <w:p>
      <w:pPr>
        <w:pStyle w:val="Style4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00ОАС29149ВА79628ОА34А2Е24ЭС6О02С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/</w:t>
      </w:r>
    </w:p>
    <w:p>
      <w:pPr>
        <w:pStyle w:val="Style4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916" w:right="4213" w:bottom="6698" w:left="4207" w:header="0" w:footer="3" w:gutter="0"/>
          <w:cols w:space="720"/>
          <w:noEndnote/>
          <w:rtlGutter w:val="0"/>
          <w:docGrid w:linePitch="360"/>
        </w:sectPr>
      </w:pP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14.03.2024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>07.06.2025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9" w:after="2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916" w:right="0" w:bottom="96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framePr w:w="2011" w:h="163" w:wrap="none" w:vAnchor="text" w:hAnchor="page" w:x="4913" w:y="750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</w:pPr>
      <w:r>
        <w:rPr>
          <w:color w:val="E7E7E7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15"/>
        <w:keepNext w:val="0"/>
        <w:keepLines w:val="0"/>
        <w:framePr w:w="2717" w:h="403" w:wrap="none" w:vAnchor="text" w:hAnchor="page" w:x="4841" w:y="2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Подлинник электронного документа, подписанного </w:t>
      </w:r>
      <w:r>
        <w:rPr>
          <w:color w:val="57575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ЭП,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хранится в системе электронного документооборота ФАС России</w:t>
      </w:r>
    </w:p>
    <w:p>
      <w:pPr>
        <w:pStyle w:val="Style12"/>
        <w:keepNext w:val="0"/>
        <w:keepLines w:val="0"/>
        <w:framePr w:w="1843" w:h="398" w:wrap="none" w:vAnchor="text" w:hAnchor="page" w:x="948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А.В. Басангова</w:t>
      </w:r>
    </w:p>
    <w:p>
      <w:pPr>
        <w:widowControl w:val="0"/>
        <w:spacing w:line="360" w:lineRule="exact"/>
      </w:pPr>
      <w:r>
        <w:drawing>
          <wp:anchor distT="0" distB="0" distL="0" distR="1789430" simplePos="0" relativeHeight="62914695" behindDoc="1" locked="0" layoutInCell="1" allowOverlap="1">
            <wp:simplePos x="0" y="0"/>
            <wp:positionH relativeFrom="page">
              <wp:posOffset>2622550</wp:posOffset>
            </wp:positionH>
            <wp:positionV relativeFrom="paragraph">
              <wp:posOffset>36830</wp:posOffset>
            </wp:positionV>
            <wp:extent cx="389890" cy="572770"/>
            <wp:wrapNone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9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916" w:right="574" w:bottom="966" w:left="1106" w:header="0" w:footer="3" w:gutter="0"/>
          <w:cols w:space="720"/>
          <w:noEndnote/>
          <w:rtlGutter w:val="0"/>
          <w:docGrid w:linePitch="360"/>
        </w:sectPr>
      </w:pPr>
    </w:p>
    <w:p>
      <w:pPr>
        <w:pStyle w:val="Style4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Басангова Амрхн Валерьевна</w:t>
      </w:r>
    </w:p>
    <w:p>
      <w:pPr>
        <w:pStyle w:val="Style4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00А2541С8136ЕЕААС13ВБ2ОС5172344438</w:t>
      </w:r>
    </w:p>
    <w:p>
      <w:pPr>
        <w:pStyle w:val="Style4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916" w:right="4242" w:bottom="6698" w:left="4207" w:header="0" w:footer="3" w:gutter="0"/>
          <w:cols w:space="720"/>
          <w:noEndnote/>
          <w:rtlGutter w:val="0"/>
          <w:docGrid w:linePitch="360"/>
        </w:sectPr>
      </w:pP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18.09.2023 по </w:t>
      </w: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>11.12.2024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9" w:after="4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916" w:right="0" w:bottom="96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51"/>
        <w:keepNext w:val="0"/>
        <w:keepLines w:val="0"/>
        <w:framePr w:w="1963" w:h="571" w:wrap="none" w:vAnchor="text" w:hAnchor="page" w:x="110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Исп.Басангова А.В. тел.8(84722) 4-23-33</w:t>
      </w:r>
    </w:p>
    <w:p>
      <w:pPr>
        <w:widowControl w:val="0"/>
        <w:spacing w:after="570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916" w:right="574" w:bottom="966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718820</wp:posOffset>
              </wp:positionH>
              <wp:positionV relativeFrom="page">
                <wp:posOffset>10043795</wp:posOffset>
              </wp:positionV>
              <wp:extent cx="6489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2024-1967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600000000000001pt;margin-top:790.85000000000002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2024-1967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2024-1967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2024-1967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A"/>
      <w:sz w:val="16"/>
      <w:szCs w:val="16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A"/>
      <w:sz w:val="19"/>
      <w:szCs w:val="19"/>
      <w:u w:val="none"/>
    </w:rPr>
  </w:style>
  <w:style w:type="character" w:customStyle="1" w:styleId="CharStyle11">
    <w:name w:val="Заголовок №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Подпись к картинке_"/>
    <w:basedOn w:val="DefaultParagraphFont"/>
    <w:link w:val="Style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72729"/>
      <w:sz w:val="11"/>
      <w:szCs w:val="11"/>
      <w:u w:val="none"/>
    </w:rPr>
  </w:style>
  <w:style w:type="character" w:customStyle="1" w:styleId="CharStyle18">
    <w:name w:val="Заголовок №3_"/>
    <w:basedOn w:val="DefaultParagraphFont"/>
    <w:link w:val="Style1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Заголовок №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2">
    <w:name w:val="Подпись к таблице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4">
    <w:name w:val="Другое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41">
    <w:name w:val="Основной текст (6)_"/>
    <w:basedOn w:val="DefaultParagraphFont"/>
    <w:link w:val="Style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7E7E7"/>
      <w:sz w:val="11"/>
      <w:szCs w:val="11"/>
      <w:u w:val="none"/>
    </w:rPr>
  </w:style>
  <w:style w:type="character" w:customStyle="1" w:styleId="CharStyle44">
    <w:name w:val="Основной текст (2)_"/>
    <w:basedOn w:val="DefaultParagraphFont"/>
    <w:link w:val="Style43"/>
    <w:rPr>
      <w:rFonts w:ascii="Arial" w:eastAsia="Arial" w:hAnsi="Arial" w:cs="Arial"/>
      <w:b w:val="0"/>
      <w:bCs w:val="0"/>
      <w:i w:val="0"/>
      <w:iCs w:val="0"/>
      <w:smallCaps w:val="0"/>
      <w:strike w:val="0"/>
      <w:color w:val="3C3B3F"/>
      <w:sz w:val="12"/>
      <w:szCs w:val="12"/>
      <w:u w:val="none"/>
    </w:rPr>
  </w:style>
  <w:style w:type="character" w:customStyle="1" w:styleId="CharStyle52">
    <w:name w:val="Основной текст (5)_"/>
    <w:basedOn w:val="DefaultParagraphFont"/>
    <w:link w:val="Style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A"/>
      <w:sz w:val="16"/>
      <w:szCs w:val="16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line="259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A"/>
      <w:sz w:val="19"/>
      <w:szCs w:val="19"/>
      <w:u w:val="none"/>
    </w:rPr>
  </w:style>
  <w:style w:type="paragraph" w:customStyle="1" w:styleId="Style10">
    <w:name w:val="Заголовок №2"/>
    <w:basedOn w:val="Normal"/>
    <w:link w:val="CharStyle11"/>
    <w:pPr>
      <w:widowControl w:val="0"/>
      <w:shd w:val="clear" w:color="auto" w:fill="auto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spacing w:line="360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Подпись к картинке"/>
    <w:basedOn w:val="Normal"/>
    <w:link w:val="CharStyle16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72729"/>
      <w:sz w:val="11"/>
      <w:szCs w:val="11"/>
      <w:u w:val="none"/>
    </w:rPr>
  </w:style>
  <w:style w:type="paragraph" w:customStyle="1" w:styleId="Style17">
    <w:name w:val="Заголовок №3"/>
    <w:basedOn w:val="Normal"/>
    <w:link w:val="CharStyle18"/>
    <w:pPr>
      <w:widowControl w:val="0"/>
      <w:shd w:val="clear" w:color="auto" w:fill="auto"/>
      <w:spacing w:after="120"/>
      <w:ind w:left="5020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9">
    <w:name w:val="Заголовок №1"/>
    <w:basedOn w:val="Normal"/>
    <w:link w:val="CharStyle20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1">
    <w:name w:val="Подпись к таблице"/>
    <w:basedOn w:val="Normal"/>
    <w:link w:val="CharStyle2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3">
    <w:name w:val="Другое"/>
    <w:basedOn w:val="Normal"/>
    <w:link w:val="CharStyle24"/>
    <w:pPr>
      <w:widowControl w:val="0"/>
      <w:shd w:val="clear" w:color="auto" w:fill="auto"/>
      <w:spacing w:line="360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40">
    <w:name w:val="Основной текст (6)"/>
    <w:basedOn w:val="Normal"/>
    <w:link w:val="CharStyle41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7E7E7"/>
      <w:sz w:val="11"/>
      <w:szCs w:val="11"/>
      <w:u w:val="none"/>
    </w:rPr>
  </w:style>
  <w:style w:type="paragraph" w:customStyle="1" w:styleId="Style43">
    <w:name w:val="Основной текст (2)"/>
    <w:basedOn w:val="Normal"/>
    <w:link w:val="CharStyle44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C3B3F"/>
      <w:sz w:val="12"/>
      <w:szCs w:val="12"/>
      <w:u w:val="none"/>
    </w:rPr>
  </w:style>
  <w:style w:type="paragraph" w:customStyle="1" w:styleId="Style51">
    <w:name w:val="Основной текст (5)"/>
    <w:basedOn w:val="Normal"/>
    <w:link w:val="CharStyle5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Решение Калмыцкого УФАС России от 20.09.2024 N 008/06/33-197/2024Нарушение: п. 1 ч. 1 ст. 33 Закона о контрактной системе.Решение: Признать жалобу частично обоснованной; выдать предписание об устранении нарушений; передать материалы дела должностному лицу для решения вопроса о возбуждении дела об административном правонарушении.</dc:title>
  <dc:subject/>
  <dc:creator/>
  <cp:keywords/>
</cp:coreProperties>
</file>