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88900" distL="114300" distR="1047115" simplePos="0" relativeHeight="125829378" behindDoc="0" locked="0" layoutInCell="1" allowOverlap="1">
                <wp:simplePos x="0" y="0"/>
                <wp:positionH relativeFrom="page">
                  <wp:posOffset>603250</wp:posOffset>
                </wp:positionH>
                <wp:positionV relativeFrom="paragraph">
                  <wp:posOffset>12700</wp:posOffset>
                </wp:positionV>
                <wp:extent cx="2584450" cy="1243330"/>
                <wp:wrapTopAndBottom/>
                <wp:docPr id="1" name="Shape 1"/>
                <a:graphic xmlns:a="http://schemas.openxmlformats.org/drawingml/2006/main">
                  <a:graphicData uri="http://schemas.microsoft.com/office/word/2010/wordprocessingShape">
                    <wps:wsp>
                      <wps:cNvSpPr txBox="1"/>
                      <wps:spPr>
                        <a:xfrm>
                          <a:ext cx="2584450" cy="1243330"/>
                        </a:xfrm>
                        <a:prstGeom prst="rect"/>
                        <a:noFill/>
                      </wps:spPr>
                      <wps:txbx>
                        <w:txbxContent>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z w:val="24"/>
                                <w:szCs w:val="24"/>
                                <w:shd w:val="clear" w:color="auto" w:fill="auto"/>
                                <w:lang w:val="ru-RU" w:eastAsia="ru-RU" w:bidi="ru-RU"/>
                              </w:rPr>
                              <w:t>УПРАВЛЕНИЕ</w:t>
                              <w:br/>
                              <w:t>Федеральной антимонопольной</w:t>
                              <w:br/>
                              <w:t>службы</w:t>
                              <w:br/>
                              <w:t>по Республике Татарстан</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47.5pt;margin-top:1.pt;width:203.5pt;height:97.900000000000006pt;z-index:-125829375;mso-wrap-distance-left:9.pt;mso-wrap-distance-right:82.450000000000003pt;mso-wrap-distance-bottom:7.pt;mso-position-horizontal-relative:page" filled="f" stroked="f">
                <v:textbox inset="0,0,0,0">
                  <w:txbxContent>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z w:val="24"/>
                          <w:szCs w:val="24"/>
                          <w:shd w:val="clear" w:color="auto" w:fill="auto"/>
                          <w:lang w:val="ru-RU" w:eastAsia="ru-RU" w:bidi="ru-RU"/>
                        </w:rPr>
                        <w:t>УПРАВЛЕНИЕ</w:t>
                        <w:br/>
                        <w:t>Федеральной антимонопольной</w:t>
                        <w:br/>
                        <w:t>службы</w:t>
                        <w:br/>
                        <w:t>по Республике Татарстан</w:t>
                      </w:r>
                    </w:p>
                  </w:txbxContent>
                </v:textbox>
                <w10:wrap type="topAndBottom" anchorx="page"/>
              </v:shape>
            </w:pict>
          </mc:Fallback>
        </mc:AlternateContent>
      </w:r>
      <w:r>
        <w:drawing>
          <wp:anchor distT="125095" distB="551815" distL="3049270" distR="114300" simplePos="0" relativeHeight="125829380" behindDoc="0" locked="0" layoutInCell="1" allowOverlap="1">
            <wp:simplePos x="0" y="0"/>
            <wp:positionH relativeFrom="page">
              <wp:posOffset>3538220</wp:posOffset>
            </wp:positionH>
            <wp:positionV relativeFrom="paragraph">
              <wp:posOffset>137795</wp:posOffset>
            </wp:positionV>
            <wp:extent cx="585470" cy="658495"/>
            <wp:wrapTopAndBottom/>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5"/>
                    <a:stretch/>
                  </pic:blipFill>
                  <pic:spPr>
                    <a:xfrm>
                      <a:ext cx="585470" cy="658495"/>
                    </a:xfrm>
                    <a:prstGeom prst="rect"/>
                  </pic:spPr>
                </pic:pic>
              </a:graphicData>
            </a:graphic>
          </wp:anchor>
        </w:drawing>
      </w:r>
    </w:p>
    <w:p>
      <w:pPr>
        <w:pStyle w:val="Style4"/>
        <w:keepNext w:val="0"/>
        <w:keepLines w:val="0"/>
        <w:widowControl w:val="0"/>
        <w:shd w:val="clear" w:color="auto" w:fill="auto"/>
        <w:bidi w:val="0"/>
        <w:spacing w:before="0" w:after="0" w:line="276" w:lineRule="auto"/>
        <w:ind w:left="0" w:right="0" w:firstLine="0"/>
        <w:jc w:val="center"/>
      </w:pPr>
      <w:r>
        <w:rPr>
          <w:spacing w:val="0"/>
          <w:w w:val="100"/>
          <w:position w:val="0"/>
          <w:shd w:val="clear" w:color="auto" w:fill="auto"/>
          <w:lang w:val="ru-RU" w:eastAsia="ru-RU" w:bidi="ru-RU"/>
        </w:rPr>
        <w:t>ул. Московская, д. 55, г. Казань. 420021</w:t>
        <w:br/>
        <w:t>тел.: (843) 236-89-22, факс (843) 238-19-46</w:t>
        <w:br/>
        <w:t>е-таИ: 1о16(а'Га8.§оу.ги</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МОНОПОЛИЯМ КАРШЫ</w:t>
        <w:br/>
        <w:t>ФЕДЕРАЛЬ ХЕЗМЭТ</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Монополиягэ каршы</w:t>
        <w:br/>
        <w:t>Федераль хезмэтнец</w:t>
        <w:br/>
        <w:t>Татарстан Республикасы</w:t>
        <w:br/>
        <w:t>буенча идарэсе</w:t>
      </w:r>
    </w:p>
    <w:p>
      <w:pPr>
        <w:pStyle w:val="Style4"/>
        <w:keepNext w:val="0"/>
        <w:keepLines w:val="0"/>
        <w:widowControl w:val="0"/>
        <w:shd w:val="clear" w:color="auto" w:fill="auto"/>
        <w:bidi w:val="0"/>
        <w:spacing w:before="0" w:after="0" w:line="283" w:lineRule="auto"/>
        <w:ind w:left="0" w:right="0" w:firstLine="0"/>
        <w:jc w:val="cente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44" w:right="1432" w:bottom="1326" w:left="1526" w:header="0" w:footer="3" w:gutter="0"/>
          <w:pgNumType w:start="1"/>
          <w:cols w:num="2" w:space="2520"/>
          <w:noEndnote/>
          <w:titlePg/>
          <w:rtlGutter w:val="0"/>
          <w:docGrid w:linePitch="360"/>
        </w:sectPr>
      </w:pPr>
      <w:r>
        <w:rPr>
          <w:spacing w:val="0"/>
          <w:w w:val="100"/>
          <w:position w:val="0"/>
          <w:shd w:val="clear" w:color="auto" w:fill="auto"/>
          <w:lang w:val="ru-RU" w:eastAsia="ru-RU" w:bidi="ru-RU"/>
        </w:rPr>
        <w:t>Москву ур.. 55 Йорг, Казан шэйэре, 420021</w:t>
        <w:br/>
        <w:t>тел.: (843) 236-89-22. факс (843) 238-19-46</w:t>
        <w:br/>
        <w:t>е-таИ: Ю16@Гав.§оу.ги</w:t>
      </w:r>
    </w:p>
    <w:p>
      <w:pPr>
        <w:widowControl w:val="0"/>
        <w:spacing w:line="12" w:lineRule="exact"/>
        <w:rPr>
          <w:sz w:val="2"/>
          <w:szCs w:val="2"/>
        </w:rPr>
      </w:pPr>
    </w:p>
    <w:p>
      <w:pPr>
        <w:widowControl w:val="0"/>
        <w:spacing w:line="1" w:lineRule="exact"/>
        <w:sectPr>
          <w:footnotePr>
            <w:pos w:val="pageBottom"/>
            <w:numFmt w:val="decimal"/>
            <w:numRestart w:val="continuous"/>
          </w:footnotePr>
          <w:type w:val="continuous"/>
          <w:pgSz w:w="11900" w:h="16840"/>
          <w:pgMar w:top="1135" w:right="0" w:bottom="1309" w:left="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381" behindDoc="0" locked="0" layoutInCell="1" allowOverlap="1">
                <wp:simplePos x="0" y="0"/>
                <wp:positionH relativeFrom="page">
                  <wp:posOffset>652145</wp:posOffset>
                </wp:positionH>
                <wp:positionV relativeFrom="paragraph">
                  <wp:posOffset>438785</wp:posOffset>
                </wp:positionV>
                <wp:extent cx="2548255" cy="170815"/>
                <wp:wrapSquare wrapText="right"/>
                <wp:docPr id="9" name="Shape 9"/>
                <a:graphic xmlns:a="http://schemas.openxmlformats.org/drawingml/2006/main">
                  <a:graphicData uri="http://schemas.microsoft.com/office/word/2010/wordprocessingShape">
                    <wps:wsp>
                      <wps:cNvSpPr txBox="1"/>
                      <wps:spPr>
                        <a:xfrm>
                          <a:ext cx="2548255" cy="17081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6F93CB"/>
                                <w:spacing w:val="0"/>
                                <w:w w:val="100"/>
                                <w:position w:val="0"/>
                                <w:shd w:val="clear" w:color="auto" w:fill="auto"/>
                                <w:lang w:val="ru-RU" w:eastAsia="ru-RU" w:bidi="ru-RU"/>
                              </w:rPr>
                              <w:t xml:space="preserve">На </w:t>
                            </w:r>
                            <w:r>
                              <w:rPr>
                                <w:color w:val="4F6B91"/>
                                <w:spacing w:val="0"/>
                                <w:w w:val="100"/>
                                <w:position w:val="0"/>
                                <w:shd w:val="clear" w:color="auto" w:fill="auto"/>
                                <w:lang w:val="ru-RU" w:eastAsia="ru-RU" w:bidi="ru-RU"/>
                              </w:rPr>
                              <w:t>№</w:t>
                            </w:r>
                            <w:r>
                              <w:rPr>
                                <w:color w:val="6F93CB"/>
                                <w:spacing w:val="0"/>
                                <w:w w:val="100"/>
                                <w:position w:val="0"/>
                                <w:shd w:val="clear" w:color="auto" w:fill="auto"/>
                                <w:lang w:val="ru-RU" w:eastAsia="ru-RU" w:bidi="ru-RU"/>
                              </w:rPr>
                              <w:t>от</w:t>
                            </w:r>
                          </w:p>
                        </w:txbxContent>
                      </wps:txbx>
                      <wps:bodyPr wrap="none" lIns="0" tIns="0" rIns="0" bIns="0">
                        <a:noAutoFit/>
                      </wps:bodyPr>
                    </wps:wsp>
                  </a:graphicData>
                </a:graphic>
              </wp:anchor>
            </w:drawing>
          </mc:Choice>
          <mc:Fallback>
            <w:pict>
              <v:shape id="_x0000_s1035" type="#_x0000_t202" style="position:absolute;margin-left:51.350000000000001pt;margin-top:34.550000000000004pt;width:200.65000000000001pt;height:13.450000000000001pt;z-index:-125829372;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6F93CB"/>
                          <w:spacing w:val="0"/>
                          <w:w w:val="100"/>
                          <w:position w:val="0"/>
                          <w:shd w:val="clear" w:color="auto" w:fill="auto"/>
                          <w:lang w:val="ru-RU" w:eastAsia="ru-RU" w:bidi="ru-RU"/>
                        </w:rPr>
                        <w:t xml:space="preserve">На </w:t>
                      </w:r>
                      <w:r>
                        <w:rPr>
                          <w:color w:val="4F6B91"/>
                          <w:spacing w:val="0"/>
                          <w:w w:val="100"/>
                          <w:position w:val="0"/>
                          <w:shd w:val="clear" w:color="auto" w:fill="auto"/>
                          <w:lang w:val="ru-RU" w:eastAsia="ru-RU" w:bidi="ru-RU"/>
                        </w:rPr>
                        <w:t>№</w:t>
                      </w:r>
                      <w:r>
                        <w:rPr>
                          <w:color w:val="6F93CB"/>
                          <w:spacing w:val="0"/>
                          <w:w w:val="100"/>
                          <w:position w:val="0"/>
                          <w:shd w:val="clear" w:color="auto" w:fill="auto"/>
                          <w:lang w:val="ru-RU" w:eastAsia="ru-RU" w:bidi="ru-RU"/>
                        </w:rPr>
                        <w:t>от</w:t>
                      </w:r>
                    </w:p>
                  </w:txbxContent>
                </v:textbox>
                <w10:wrap type="square" side="right" anchorx="page"/>
              </v:shape>
            </w:pict>
          </mc:Fallback>
        </mc:AlternateContent>
      </w:r>
    </w:p>
    <w:p>
      <w:pPr>
        <w:widowControl w:val="0"/>
      </w:pPr>
    </w:p>
    <w:p>
      <w:pPr>
        <w:pStyle w:val="Style12"/>
        <w:keepNext w:val="0"/>
        <w:keepLines w:val="0"/>
        <w:widowControl w:val="0"/>
        <w:shd w:val="clear" w:color="auto" w:fill="auto"/>
        <w:bidi w:val="0"/>
        <w:spacing w:before="0" w:after="0" w:line="240" w:lineRule="auto"/>
        <w:ind w:left="0" w:right="0" w:firstLine="980"/>
        <w:jc w:val="left"/>
      </w:pPr>
      <w:r>
        <w:rPr>
          <w:color w:val="000000"/>
          <w:spacing w:val="0"/>
          <w:w w:val="100"/>
          <w:position w:val="0"/>
          <w:shd w:val="clear" w:color="auto" w:fill="auto"/>
          <w:lang w:val="ru-RU" w:eastAsia="ru-RU" w:bidi="ru-RU"/>
        </w:rPr>
        <w:t>Заказчику:</w:t>
      </w:r>
    </w:p>
    <w:p>
      <w:pPr>
        <w:pStyle w:val="Style12"/>
        <w:keepNext w:val="0"/>
        <w:keepLines w:val="0"/>
        <w:widowControl w:val="0"/>
        <w:shd w:val="clear" w:color="auto" w:fill="auto"/>
        <w:bidi w:val="0"/>
        <w:spacing w:before="0" w:after="0" w:line="240" w:lineRule="auto"/>
        <w:ind w:left="5240" w:right="0" w:firstLine="20"/>
        <w:jc w:val="left"/>
      </w:pPr>
      <w:r>
        <w:rPr>
          <w:color w:val="000000"/>
          <w:spacing w:val="0"/>
          <w:w w:val="100"/>
          <w:position w:val="0"/>
          <w:shd w:val="clear" w:color="auto" w:fill="auto"/>
          <w:lang w:val="ru-RU" w:eastAsia="ru-RU" w:bidi="ru-RU"/>
        </w:rPr>
        <w:t>ГБУ "ХОЗУ ПРИ КАБИНЕТЕ МИНИСТРОВ РЕСПУБЛИКИ ТАТАРСТАН"</w:t>
      </w:r>
    </w:p>
    <w:p>
      <w:pPr>
        <w:pStyle w:val="Style12"/>
        <w:keepNext w:val="0"/>
        <w:keepLines w:val="0"/>
        <w:widowControl w:val="0"/>
        <w:shd w:val="clear" w:color="auto" w:fill="auto"/>
        <w:bidi w:val="0"/>
        <w:spacing w:before="0" w:after="320" w:line="240" w:lineRule="auto"/>
        <w:ind w:left="5240" w:right="0" w:firstLine="20"/>
        <w:jc w:val="left"/>
      </w:pPr>
      <w:r>
        <w:rPr>
          <w:color w:val="000000"/>
          <w:spacing w:val="0"/>
          <w:w w:val="100"/>
          <w:position w:val="0"/>
          <w:u w:val="single"/>
          <w:shd w:val="clear" w:color="auto" w:fill="auto"/>
          <w:lang w:val="ru-RU" w:eastAsia="ru-RU" w:bidi="ru-RU"/>
        </w:rPr>
        <w:t>ОМе1.2акирок.Ьо2и@1а1:аг.ги</w:t>
      </w:r>
    </w:p>
    <w:p>
      <w:pPr>
        <w:pStyle w:val="Style12"/>
        <w:keepNext w:val="0"/>
        <w:keepLines w:val="0"/>
        <w:widowControl w:val="0"/>
        <w:shd w:val="clear" w:color="auto" w:fill="auto"/>
        <w:bidi w:val="0"/>
        <w:spacing w:before="0" w:after="0" w:line="240" w:lineRule="auto"/>
        <w:ind w:left="5240" w:right="0" w:firstLine="20"/>
        <w:jc w:val="left"/>
      </w:pPr>
      <w:r>
        <w:rPr>
          <w:color w:val="000000"/>
          <w:spacing w:val="0"/>
          <w:w w:val="100"/>
          <w:position w:val="0"/>
          <w:shd w:val="clear" w:color="auto" w:fill="auto"/>
          <w:lang w:val="ru-RU" w:eastAsia="ru-RU" w:bidi="ru-RU"/>
        </w:rPr>
        <w:t>Заявителю:</w:t>
      </w:r>
    </w:p>
    <w:p>
      <w:pPr>
        <w:pStyle w:val="Style12"/>
        <w:keepNext w:val="0"/>
        <w:keepLines w:val="0"/>
        <w:widowControl w:val="0"/>
        <w:shd w:val="clear" w:color="auto" w:fill="auto"/>
        <w:bidi w:val="0"/>
        <w:spacing w:before="0" w:after="0" w:line="240" w:lineRule="auto"/>
        <w:ind w:left="5240" w:right="0" w:firstLine="20"/>
        <w:jc w:val="left"/>
      </w:pPr>
      <w:r>
        <w:rPr>
          <w:color w:val="000000"/>
          <w:spacing w:val="0"/>
          <w:w w:val="100"/>
          <w:position w:val="0"/>
          <w:shd w:val="clear" w:color="auto" w:fill="auto"/>
          <w:lang w:val="ru-RU" w:eastAsia="ru-RU" w:bidi="ru-RU"/>
        </w:rPr>
        <w:t>ИП Лунин С.М.</w:t>
      </w:r>
    </w:p>
    <w:p>
      <w:pPr>
        <w:pStyle w:val="Style12"/>
        <w:keepNext w:val="0"/>
        <w:keepLines w:val="0"/>
        <w:widowControl w:val="0"/>
        <w:shd w:val="clear" w:color="auto" w:fill="auto"/>
        <w:bidi w:val="0"/>
        <w:spacing w:before="0" w:after="640" w:line="240" w:lineRule="auto"/>
        <w:ind w:left="5240" w:right="0" w:firstLine="20"/>
        <w:jc w:val="left"/>
      </w:pPr>
      <w:r>
        <w:rPr>
          <w:color w:val="000000"/>
          <w:spacing w:val="0"/>
          <w:w w:val="100"/>
          <w:position w:val="0"/>
          <w:u w:val="single"/>
          <w:shd w:val="clear" w:color="auto" w:fill="auto"/>
          <w:lang w:val="ru-RU" w:eastAsia="ru-RU" w:bidi="ru-RU"/>
        </w:rPr>
        <w:t>1 -то1ог85@уапс1ех.ги</w:t>
      </w:r>
    </w:p>
    <w:p>
      <w:pPr>
        <w:pStyle w:val="Style12"/>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ru-RU" w:eastAsia="ru-RU" w:bidi="ru-RU"/>
        </w:rPr>
        <w:t>Решение по делу № 016/06/14-1505/2024</w:t>
      </w:r>
    </w:p>
    <w:p>
      <w:pPr>
        <w:pStyle w:val="Style12"/>
        <w:keepNext w:val="0"/>
        <w:keepLines w:val="0"/>
        <w:widowControl w:val="0"/>
        <w:shd w:val="clear" w:color="auto" w:fill="auto"/>
        <w:tabs>
          <w:tab w:pos="9115" w:val="left"/>
        </w:tabs>
        <w:bidi w:val="0"/>
        <w:spacing w:before="0" w:after="320" w:line="240" w:lineRule="auto"/>
        <w:ind w:left="0" w:right="0" w:firstLine="0"/>
        <w:jc w:val="both"/>
      </w:pPr>
      <w:r>
        <w:rPr>
          <w:color w:val="000000"/>
          <w:spacing w:val="0"/>
          <w:w w:val="100"/>
          <w:position w:val="0"/>
          <w:shd w:val="clear" w:color="auto" w:fill="auto"/>
          <w:lang w:val="ru-RU" w:eastAsia="ru-RU" w:bidi="ru-RU"/>
        </w:rPr>
        <w:t>01 ноября 2024 года</w:t>
        <w:tab/>
        <w:t>г. Казань</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в составе:</w:t>
      </w:r>
    </w:p>
    <w:p>
      <w:pPr>
        <w:pStyle w:val="Style12"/>
        <w:keepNext w:val="0"/>
        <w:keepLines w:val="0"/>
        <w:widowControl w:val="0"/>
        <w:shd w:val="clear" w:color="auto" w:fill="auto"/>
        <w:tabs>
          <w:tab w:pos="6059" w:val="left"/>
        </w:tabs>
        <w:bidi w:val="0"/>
        <w:spacing w:before="0" w:after="0" w:line="240" w:lineRule="auto"/>
        <w:ind w:left="0" w:right="0" w:firstLine="820"/>
        <w:jc w:val="left"/>
      </w:pPr>
      <w:r>
        <w:rPr>
          <w:color w:val="000000"/>
          <w:spacing w:val="0"/>
          <w:w w:val="100"/>
          <w:position w:val="0"/>
          <w:shd w:val="clear" w:color="auto" w:fill="auto"/>
          <w:lang w:val="ru-RU" w:eastAsia="ru-RU" w:bidi="ru-RU"/>
        </w:rPr>
        <w:t>Председателя Комиссии:</w:t>
        <w:tab/>
        <w:t>Яфизова А.А. - заместителя</w:t>
      </w:r>
    </w:p>
    <w:p>
      <w:pPr>
        <w:pStyle w:val="Style12"/>
        <w:keepNext w:val="0"/>
        <w:keepLines w:val="0"/>
        <w:widowControl w:val="0"/>
        <w:shd w:val="clear" w:color="auto" w:fill="auto"/>
        <w:bidi w:val="0"/>
        <w:spacing w:before="0" w:after="0" w:line="240" w:lineRule="auto"/>
        <w:ind w:left="6080" w:right="0" w:firstLine="0"/>
        <w:jc w:val="left"/>
      </w:pPr>
      <w:r>
        <w:rPr>
          <w:color w:val="000000"/>
          <w:spacing w:val="0"/>
          <w:w w:val="100"/>
          <w:position w:val="0"/>
          <w:shd w:val="clear" w:color="auto" w:fill="auto"/>
          <w:lang w:val="ru-RU" w:eastAsia="ru-RU" w:bidi="ru-RU"/>
        </w:rPr>
        <w:t>руководителя,</w:t>
      </w:r>
    </w:p>
    <w:p>
      <w:pPr>
        <w:pStyle w:val="Style12"/>
        <w:keepNext w:val="0"/>
        <w:keepLines w:val="0"/>
        <w:widowControl w:val="0"/>
        <w:shd w:val="clear" w:color="auto" w:fill="auto"/>
        <w:tabs>
          <w:tab w:pos="6059" w:val="left"/>
        </w:tabs>
        <w:bidi w:val="0"/>
        <w:spacing w:before="0" w:after="0" w:line="240" w:lineRule="auto"/>
        <w:ind w:left="0" w:right="0" w:firstLine="820"/>
        <w:jc w:val="left"/>
      </w:pPr>
      <w:r>
        <w:rPr>
          <w:color w:val="000000"/>
          <w:spacing w:val="0"/>
          <w:w w:val="100"/>
          <w:position w:val="0"/>
          <w:shd w:val="clear" w:color="auto" w:fill="auto"/>
          <w:lang w:val="ru-RU" w:eastAsia="ru-RU" w:bidi="ru-RU"/>
        </w:rPr>
        <w:t>Членов Комиссии:</w:t>
        <w:tab/>
        <w:t>Акперовой Л.А. - главного</w:t>
      </w:r>
    </w:p>
    <w:p>
      <w:pPr>
        <w:pStyle w:val="Style12"/>
        <w:keepNext w:val="0"/>
        <w:keepLines w:val="0"/>
        <w:widowControl w:val="0"/>
        <w:shd w:val="clear" w:color="auto" w:fill="auto"/>
        <w:bidi w:val="0"/>
        <w:spacing w:before="0" w:after="0" w:line="240" w:lineRule="auto"/>
        <w:ind w:left="6080" w:right="0" w:firstLine="0"/>
        <w:jc w:val="left"/>
      </w:pPr>
      <w:r>
        <w:rPr>
          <w:color w:val="000000"/>
          <w:spacing w:val="0"/>
          <w:w w:val="100"/>
          <w:position w:val="0"/>
          <w:shd w:val="clear" w:color="auto" w:fill="auto"/>
          <w:lang w:val="ru-RU" w:eastAsia="ru-RU" w:bidi="ru-RU"/>
        </w:rPr>
        <w:t>специалиста-эксперта, Никитиной И.Г. - специалиста 1 разряда,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присутствии представителя заказчика ГБУ "ХОЗУ ПРИ КАБИНЕТЕ МИНИСТРОВ РЕСПУБЛИКИ ТАТАРСТАН" - Баранова О.И. (по доверенности), в отсутствие представителя заявителя ИП Лунина С.М., о месте и времени рассмотрения жалобы извещенного надлежащим образом, рассмотрев посредством видеоконференции жалобу заявителя ИП Лунина С.М. (вх. №11493/ж от 25.10.2024г.) на действия заказчика ГБУ "ХОЗУ ПРИ КАБИНЕТЕ МИНИСТРОВ РЕСПУБЛИКИ ТАТАРСТАН" при проведении закупки №0311200003024000263 на предмет: «Поставка запасных частей для автомобиля марки Мегсебез-Вепг 8 500»,</w:t>
      </w:r>
    </w:p>
    <w:p>
      <w:pPr>
        <w:pStyle w:val="Style12"/>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Извещение о проведении электронного аукциона №0311200003024000263 на предмет: «Поставка запасных частей для автомобиля марки Мегсебез-Вепх 8 500» размещено на официальном сайте Российской Федерации для размещения информации о размещении заказов </w:t>
      </w:r>
      <w:r>
        <w:rPr>
          <w:color w:val="000000"/>
          <w:spacing w:val="0"/>
          <w:w w:val="100"/>
          <w:position w:val="0"/>
          <w:u w:val="single"/>
          <w:shd w:val="clear" w:color="auto" w:fill="auto"/>
          <w:lang w:val="ru-RU" w:eastAsia="ru-RU" w:bidi="ru-RU"/>
        </w:rPr>
        <w:t>уууулу.гакирИ.цоу.ги</w:t>
      </w:r>
      <w:r>
        <w:rPr>
          <w:color w:val="000000"/>
          <w:spacing w:val="0"/>
          <w:w w:val="100"/>
          <w:position w:val="0"/>
          <w:shd w:val="clear" w:color="auto" w:fill="auto"/>
          <w:lang w:val="ru-RU" w:eastAsia="ru-RU" w:bidi="ru-RU"/>
        </w:rPr>
        <w:t xml:space="preserve"> 11.10.2024г.</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Суть жалобы: по мнению заявителя, при проведении закупки нарушены требования действующего законодательства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Комиссия Татарстанского УФАС России по результатам рассмотрения доводов заявителя, позиции заказчика и изучения документации приходит к следующим выводам.</w:t>
      </w:r>
    </w:p>
    <w:p>
      <w:pPr>
        <w:pStyle w:val="Style1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Относительно довода заявителя о неправомерном применении понижающего коэффициента 15% при направлении проекта контракта на подписание победителю закупки.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15 части 1 статьи 42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2"/>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1135" w:right="623" w:bottom="1309" w:left="967" w:header="0" w:footer="3" w:gutter="0"/>
          <w:cols w:space="720"/>
          <w:noEndnote/>
          <w:rtlGutter w:val="0"/>
          <w:docGrid w:linePitch="360"/>
        </w:sectPr>
      </w:pPr>
      <w:r>
        <w:rPr>
          <w:color w:val="000000"/>
          <w:spacing w:val="0"/>
          <w:w w:val="100"/>
          <w:position w:val="0"/>
          <w:shd w:val="clear" w:color="auto" w:fill="auto"/>
          <w:lang w:val="ru-RU" w:eastAsia="ru-RU" w:bidi="ru-RU"/>
        </w:rPr>
        <w:t xml:space="preserve">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Приказом Минфина России от 04.06.2018г. № 126н утверждены 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Подпунктами 1.1, 1.3 пункта 1, пунктом 2 приказа Минфина России от 04.06.2018 № 126н установлено, что при проведении конкурса, аукциона, запроса котировок в электронной форме преимущества в отношении цены контракта в размере 15 процентов в отношении товаров, указанных в приложении № 1, в размере 20 процентов в отношении товаров, указанных в приложении № 2 и закупаемых при реализации национальных проектов (программ), в соответствии с подпунктами 1.2 и 1.3 пункта 1 настоящего приказа предоставляются участникам закупки, заявки которых признаны соответствующими требованиям извещения об осуществлении закупки, документации о закупке (в случае, если Федеральным законом предусмотрена документация о закупке) и содержат исключительно предложения о поставке товаров, происходящих из государств - членов Евразийского экономического союза, из Донецкой Народной Республики, Луганской Народной Республики.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u w:val="single"/>
          <w:shd w:val="clear" w:color="auto" w:fill="auto"/>
          <w:lang w:val="ru-RU" w:eastAsia="ru-RU" w:bidi="ru-RU"/>
        </w:rPr>
        <w:t>При проведении аукциона контракт заключается по цене:</w:t>
      </w:r>
    </w:p>
    <w:p>
      <w:pPr>
        <w:pStyle w:val="Style12"/>
        <w:keepNext w:val="0"/>
        <w:keepLines w:val="0"/>
        <w:widowControl w:val="0"/>
        <w:numPr>
          <w:ilvl w:val="0"/>
          <w:numId w:val="1"/>
        </w:numPr>
        <w:shd w:val="clear" w:color="auto" w:fill="auto"/>
        <w:tabs>
          <w:tab w:pos="1162" w:val="left"/>
        </w:tabs>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сниженной на 15 процентов </w:t>
      </w:r>
      <w:r>
        <w:rPr>
          <w:color w:val="000000"/>
          <w:spacing w:val="0"/>
          <w:w w:val="100"/>
          <w:position w:val="0"/>
          <w:shd w:val="clear" w:color="auto" w:fill="auto"/>
          <w:lang w:val="ru-RU" w:eastAsia="ru-RU" w:bidi="ru-RU"/>
        </w:rPr>
        <w:t xml:space="preserve">в отношении товаров, указанных в приложении № 1, сниженной на 20 процентов в отношении товаров, указанных в приложении № 2 и закупаемых при реализации национальных проектов (программ), от предложенной победителем аукциона в случае, если заявка такого победителя содержит предложение о поставке товаров, указанных в Приложениях, страной происхождения хотя бы одного из которых является иностранное государство (за </w:t>
      </w:r>
      <w:r>
        <w:rPr>
          <w:color w:val="000000"/>
          <w:spacing w:val="0"/>
          <w:w w:val="100"/>
          <w:position w:val="0"/>
          <w:shd w:val="clear" w:color="auto" w:fill="auto"/>
          <w:lang w:val="ru-RU" w:eastAsia="ru-RU" w:bidi="ru-RU"/>
        </w:rPr>
        <w:t>исключением государств - членов Евразийского экономического союза, Донецкой Народной Республики, Луганской Народной Республики);</w:t>
      </w:r>
    </w:p>
    <w:p>
      <w:pPr>
        <w:pStyle w:val="Style12"/>
        <w:keepNext w:val="0"/>
        <w:keepLines w:val="0"/>
        <w:widowControl w:val="0"/>
        <w:numPr>
          <w:ilvl w:val="0"/>
          <w:numId w:val="1"/>
        </w:numPr>
        <w:shd w:val="clear" w:color="auto" w:fill="auto"/>
        <w:tabs>
          <w:tab w:pos="108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предложенной победителем аукциона в случае, если заявка такого победителя содержит предложение о поставке товаров, указанных в Приложениях, и происходящих исключительно из государств - членов Евразийского экономического союза, из Донецкой Народной Республики, Луганской Народной Республики.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Положения подпунктов 1.1 - ЕЗ пункта 1 настоящего приказа не применяются при проведении конкурса, аукциона, запроса котировок в электронной форме в случаях, если:</w:t>
      </w:r>
    </w:p>
    <w:p>
      <w:pPr>
        <w:pStyle w:val="Style12"/>
        <w:keepNext w:val="0"/>
        <w:keepLines w:val="0"/>
        <w:widowControl w:val="0"/>
        <w:numPr>
          <w:ilvl w:val="0"/>
          <w:numId w:val="3"/>
        </w:numPr>
        <w:shd w:val="clear" w:color="auto" w:fill="auto"/>
        <w:tabs>
          <w:tab w:pos="108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конкурс, аукцион, запрос котировок в электронной форме признается не состоявшимся в случаях, предусмотренных Федеральным законом;</w:t>
      </w:r>
    </w:p>
    <w:p>
      <w:pPr>
        <w:pStyle w:val="Style12"/>
        <w:keepNext w:val="0"/>
        <w:keepLines w:val="0"/>
        <w:widowControl w:val="0"/>
        <w:numPr>
          <w:ilvl w:val="0"/>
          <w:numId w:val="3"/>
        </w:numPr>
        <w:shd w:val="clear" w:color="auto" w:fill="auto"/>
        <w:tabs>
          <w:tab w:pos="108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все заявки участников закупки, признанные в порядке, предусмотренном Федеральным законом, соответствующими требованиям извещения об осуществлении закупки, документации о закупке (в случае, если Федеральным законом предусмотрена документация о закупке), содержат предложения о поставке товаров, указанных в Приложениях и происходящих исключительно из государств - членов Евразийского экономического союза, из Донецкой Народной Республики, Луганской Народной Республики;</w:t>
      </w:r>
    </w:p>
    <w:p>
      <w:pPr>
        <w:pStyle w:val="Style12"/>
        <w:keepNext w:val="0"/>
        <w:keepLines w:val="0"/>
        <w:widowControl w:val="0"/>
        <w:numPr>
          <w:ilvl w:val="0"/>
          <w:numId w:val="3"/>
        </w:numPr>
        <w:shd w:val="clear" w:color="auto" w:fill="auto"/>
        <w:tabs>
          <w:tab w:pos="108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все заявки участников закупки, признанные в порядке, предусмотренном Федеральным законом, соответствующими требованиям извещения об осуществлении закупки, документации о закупке (в случае, если Федеральным законом предусмотрена документация о закупке), содержат предложение о поставке указанных в Приложениях товаров,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 Донецкой Народной Республики, Луганской Народной Республики);</w:t>
      </w:r>
    </w:p>
    <w:p>
      <w:pPr>
        <w:pStyle w:val="Style12"/>
        <w:keepNext w:val="0"/>
        <w:keepLines w:val="0"/>
        <w:widowControl w:val="0"/>
        <w:numPr>
          <w:ilvl w:val="0"/>
          <w:numId w:val="3"/>
        </w:numPr>
        <w:shd w:val="clear" w:color="auto" w:fill="auto"/>
        <w:tabs>
          <w:tab w:pos="108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отношении товаров, указанных в Приложениях, Правительством Российской Федерации установлен запрет в соответствии с частью 3 статьи 14 Федерального закона.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1.6 Приказа №126н подтверждением страны происхождения товаров, указанных в Приложениях, является указание (декларирование) участником закупки в заявке в соответствии с Федеральным законом наименования страны происхождения товара.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извещении о проведении закупки №0311200003024000263 содержится указание на применение положений Приказа Минфина № 126н.</w:t>
      </w:r>
    </w:p>
    <w:p>
      <w:pPr>
        <w:pStyle w:val="Style12"/>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В соответствии с Описанием объекта закупки к поставке требуются следующие товары:</w:t>
      </w:r>
    </w:p>
    <w:tbl>
      <w:tblPr>
        <w:tblOverlap w:val="never"/>
        <w:jc w:val="center"/>
        <w:tblLayout w:type="fixed"/>
      </w:tblPr>
      <w:tblGrid>
        <w:gridCol w:w="466"/>
        <w:gridCol w:w="2563"/>
        <w:gridCol w:w="3283"/>
        <w:gridCol w:w="701"/>
        <w:gridCol w:w="710"/>
        <w:gridCol w:w="1133"/>
        <w:gridCol w:w="1397"/>
      </w:tblGrid>
      <w:tr>
        <w:trPr>
          <w:trHeight w:val="782" w:hRule="exact"/>
        </w:trPr>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Наименование товара</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Характеристика товара</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62"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Ед. изм.</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66"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Кол- во</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76"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 xml:space="preserve">Цена за единицу </w:t>
            </w:r>
            <w:r>
              <w:rPr>
                <w:b/>
                <w:bCs/>
                <w:color w:val="000000"/>
                <w:spacing w:val="0"/>
                <w:w w:val="100"/>
                <w:position w:val="0"/>
                <w:sz w:val="20"/>
                <w:szCs w:val="20"/>
                <w:u w:val="single"/>
                <w:shd w:val="clear" w:color="auto" w:fill="auto"/>
                <w:lang w:val="ru-RU" w:eastAsia="ru-RU" w:bidi="ru-RU"/>
              </w:rPr>
              <w:t>руб-</w:t>
            </w: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0" w:after="0" w:line="295"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Сумма, руб-</w:t>
            </w:r>
          </w:p>
        </w:tc>
      </w:tr>
      <w:tr>
        <w:trPr>
          <w:trHeight w:val="264" w:hRule="exact"/>
        </w:trPr>
        <w:tc>
          <w:tcPr>
            <w:gridSpan w:val="2"/>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2360" w:right="0" w:firstLine="0"/>
              <w:jc w:val="left"/>
              <w:rPr>
                <w:sz w:val="20"/>
                <w:szCs w:val="20"/>
              </w:rPr>
            </w:pPr>
            <w:r>
              <w:rPr>
                <w:color w:val="000000"/>
                <w:spacing w:val="0"/>
                <w:w w:val="100"/>
                <w:position w:val="0"/>
                <w:sz w:val="20"/>
                <w:szCs w:val="20"/>
                <w:shd w:val="clear" w:color="auto" w:fill="auto"/>
                <w:lang w:val="ru-RU" w:eastAsia="ru-RU" w:bidi="ru-RU"/>
              </w:rPr>
              <w:t>Мегсес</w:t>
            </w:r>
          </w:p>
        </w:tc>
        <w:tc>
          <w:tcPr>
            <w:gridSpan w:val="5"/>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ез-Вепх 8 500 4МаНс УШ: УУОО2221851А206551**</w:t>
            </w:r>
          </w:p>
        </w:tc>
      </w:tr>
      <w:tr>
        <w:trPr>
          <w:trHeight w:val="768"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66" w:lineRule="auto"/>
              <w:ind w:left="0" w:right="0" w:firstLine="0"/>
              <w:jc w:val="center"/>
              <w:rPr>
                <w:sz w:val="20"/>
                <w:szCs w:val="20"/>
              </w:rPr>
            </w:pPr>
            <w:r>
              <w:rPr>
                <w:color w:val="000000"/>
                <w:spacing w:val="0"/>
                <w:w w:val="100"/>
                <w:position w:val="0"/>
                <w:sz w:val="20"/>
                <w:szCs w:val="20"/>
                <w:shd w:val="clear" w:color="auto" w:fill="auto"/>
                <w:lang w:val="ru-RU" w:eastAsia="ru-RU" w:bidi="ru-RU"/>
              </w:rPr>
              <w:t>Диск тормозной передний вентилируемый</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76" w:lineRule="auto"/>
              <w:ind w:left="0" w:right="0" w:firstLine="0"/>
              <w:jc w:val="center"/>
              <w:rPr>
                <w:sz w:val="20"/>
                <w:szCs w:val="20"/>
              </w:rPr>
            </w:pPr>
            <w:r>
              <w:rPr>
                <w:color w:val="000000"/>
                <w:spacing w:val="0"/>
                <w:w w:val="100"/>
                <w:position w:val="0"/>
                <w:sz w:val="20"/>
                <w:szCs w:val="20"/>
                <w:shd w:val="clear" w:color="auto" w:fill="auto"/>
                <w:lang w:val="ru-RU" w:eastAsia="ru-RU" w:bidi="ru-RU"/>
              </w:rPr>
              <w:t>Оригинал* (артикул - А2224200272)</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140"/>
              <w:jc w:val="left"/>
              <w:rPr>
                <w:sz w:val="20"/>
                <w:szCs w:val="20"/>
              </w:rPr>
            </w:pPr>
            <w:r>
              <w:rPr>
                <w:color w:val="000000"/>
                <w:spacing w:val="0"/>
                <w:w w:val="100"/>
                <w:position w:val="0"/>
                <w:sz w:val="20"/>
                <w:szCs w:val="20"/>
                <w:shd w:val="clear" w:color="auto" w:fill="auto"/>
                <w:lang w:val="ru-RU" w:eastAsia="ru-RU" w:bidi="ru-RU"/>
              </w:rPr>
              <w:t>шт.</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32 400,00</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64 800,00</w:t>
            </w:r>
          </w:p>
        </w:tc>
      </w:tr>
      <w:tr>
        <w:trPr>
          <w:trHeight w:val="278" w:hRule="exact"/>
        </w:trPr>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w:t>
            </w: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Колодки тормозные</w:t>
            </w: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Оригинал*</w:t>
            </w: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шт.</w:t>
            </w: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32 342,00</w:t>
            </w:r>
          </w:p>
        </w:tc>
        <w:tc>
          <w:tcPr>
            <w:tcBorders>
              <w:top w:val="single" w:sz="4"/>
              <w:left w:val="single" w:sz="4"/>
              <w:bottom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32 342,00</w:t>
            </w:r>
          </w:p>
        </w:tc>
      </w:tr>
    </w:tbl>
    <w:p>
      <w:pPr>
        <w:widowControl w:val="0"/>
        <w:spacing w:line="1" w:lineRule="exact"/>
      </w:pPr>
    </w:p>
    <w:tbl>
      <w:tblPr>
        <w:tblOverlap w:val="never"/>
        <w:jc w:val="center"/>
        <w:tblLayout w:type="fixed"/>
      </w:tblPr>
      <w:tblGrid>
        <w:gridCol w:w="470"/>
        <w:gridCol w:w="2549"/>
        <w:gridCol w:w="3259"/>
        <w:gridCol w:w="706"/>
        <w:gridCol w:w="706"/>
        <w:gridCol w:w="1133"/>
        <w:gridCol w:w="1402"/>
      </w:tblGrid>
      <w:tr>
        <w:trPr>
          <w:trHeight w:val="322" w:hRule="exact"/>
        </w:trPr>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передние</w:t>
            </w:r>
          </w:p>
        </w:tc>
        <w:tc>
          <w:tcPr>
            <w:tcBorders>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(артикул - А0064208820)</w:t>
            </w:r>
          </w:p>
        </w:tc>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left w:val="single" w:sz="4"/>
              <w:right w:val="single" w:sz="4"/>
            </w:tcBorders>
            <w:shd w:val="clear" w:color="auto" w:fill="auto"/>
            <w:vAlign w:val="top"/>
          </w:tcPr>
          <w:p>
            <w:pPr>
              <w:widowControl w:val="0"/>
              <w:rPr>
                <w:sz w:val="10"/>
                <w:szCs w:val="10"/>
              </w:rPr>
            </w:pPr>
          </w:p>
        </w:tc>
      </w:tr>
      <w:tr>
        <w:trPr>
          <w:trHeight w:val="797"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69" w:lineRule="auto"/>
              <w:ind w:left="0" w:right="0" w:firstLine="0"/>
              <w:jc w:val="center"/>
              <w:rPr>
                <w:sz w:val="20"/>
                <w:szCs w:val="20"/>
              </w:rPr>
            </w:pPr>
            <w:r>
              <w:rPr>
                <w:color w:val="000000"/>
                <w:spacing w:val="0"/>
                <w:w w:val="100"/>
                <w:position w:val="0"/>
                <w:sz w:val="20"/>
                <w:szCs w:val="20"/>
                <w:shd w:val="clear" w:color="auto" w:fill="auto"/>
                <w:lang w:val="ru-RU" w:eastAsia="ru-RU" w:bidi="ru-RU"/>
              </w:rPr>
              <w:t>Датчик износа тормозных колодок передний</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76" w:lineRule="auto"/>
              <w:ind w:left="0" w:right="0" w:firstLine="0"/>
              <w:jc w:val="center"/>
              <w:rPr>
                <w:sz w:val="20"/>
                <w:szCs w:val="20"/>
              </w:rPr>
            </w:pPr>
            <w:r>
              <w:rPr>
                <w:color w:val="000000"/>
                <w:spacing w:val="0"/>
                <w:w w:val="100"/>
                <w:position w:val="0"/>
                <w:sz w:val="20"/>
                <w:szCs w:val="20"/>
                <w:shd w:val="clear" w:color="auto" w:fill="auto"/>
                <w:lang w:val="ru-RU" w:eastAsia="ru-RU" w:bidi="ru-RU"/>
              </w:rPr>
              <w:t>Оригинал* (артикул - 2319050014) или эквивалент</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180"/>
              <w:jc w:val="left"/>
              <w:rPr>
                <w:sz w:val="20"/>
                <w:szCs w:val="20"/>
              </w:rPr>
            </w:pPr>
            <w:r>
              <w:rPr>
                <w:color w:val="000000"/>
                <w:spacing w:val="0"/>
                <w:w w:val="100"/>
                <w:position w:val="0"/>
                <w:sz w:val="20"/>
                <w:szCs w:val="20"/>
                <w:shd w:val="clear" w:color="auto" w:fill="auto"/>
                <w:lang w:val="ru-RU" w:eastAsia="ru-RU" w:bidi="ru-RU"/>
              </w:rPr>
              <w:t>шт.</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351,00</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351,00</w:t>
            </w:r>
          </w:p>
        </w:tc>
      </w:tr>
      <w:tr>
        <w:trPr>
          <w:trHeight w:val="773"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4</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69" w:lineRule="auto"/>
              <w:ind w:left="0" w:right="0" w:firstLine="0"/>
              <w:jc w:val="center"/>
              <w:rPr>
                <w:sz w:val="20"/>
                <w:szCs w:val="20"/>
              </w:rPr>
            </w:pPr>
            <w:r>
              <w:rPr>
                <w:color w:val="000000"/>
                <w:spacing w:val="0"/>
                <w:w w:val="100"/>
                <w:position w:val="0"/>
                <w:sz w:val="20"/>
                <w:szCs w:val="20"/>
                <w:shd w:val="clear" w:color="auto" w:fill="auto"/>
                <w:lang w:val="ru-RU" w:eastAsia="ru-RU" w:bidi="ru-RU"/>
              </w:rPr>
              <w:t>Диск тормозной задний вентилируемый</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Оригинал*</w:t>
            </w:r>
          </w:p>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(артикул - А2224231500)</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180"/>
              <w:jc w:val="left"/>
              <w:rPr>
                <w:sz w:val="20"/>
                <w:szCs w:val="20"/>
              </w:rPr>
            </w:pPr>
            <w:r>
              <w:rPr>
                <w:color w:val="000000"/>
                <w:spacing w:val="0"/>
                <w:w w:val="100"/>
                <w:position w:val="0"/>
                <w:sz w:val="20"/>
                <w:szCs w:val="20"/>
                <w:shd w:val="clear" w:color="auto" w:fill="auto"/>
                <w:lang w:val="ru-RU" w:eastAsia="ru-RU" w:bidi="ru-RU"/>
              </w:rPr>
              <w:t>шт.</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26 838,00</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53 676,00</w:t>
            </w:r>
          </w:p>
        </w:tc>
      </w:tr>
      <w:tr>
        <w:trPr>
          <w:trHeight w:val="547"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5</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66" w:lineRule="auto"/>
              <w:ind w:left="0" w:right="0" w:firstLine="0"/>
              <w:jc w:val="center"/>
              <w:rPr>
                <w:sz w:val="20"/>
                <w:szCs w:val="20"/>
              </w:rPr>
            </w:pPr>
            <w:r>
              <w:rPr>
                <w:color w:val="000000"/>
                <w:spacing w:val="0"/>
                <w:w w:val="100"/>
                <w:position w:val="0"/>
                <w:sz w:val="20"/>
                <w:szCs w:val="20"/>
                <w:shd w:val="clear" w:color="auto" w:fill="auto"/>
                <w:lang w:val="ru-RU" w:eastAsia="ru-RU" w:bidi="ru-RU"/>
              </w:rPr>
              <w:t>Колодки тормозные задние</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86" w:lineRule="auto"/>
              <w:ind w:left="0" w:right="0" w:firstLine="0"/>
              <w:jc w:val="center"/>
              <w:rPr>
                <w:sz w:val="20"/>
                <w:szCs w:val="20"/>
              </w:rPr>
            </w:pPr>
            <w:r>
              <w:rPr>
                <w:color w:val="000000"/>
                <w:spacing w:val="0"/>
                <w:w w:val="100"/>
                <w:position w:val="0"/>
                <w:sz w:val="20"/>
                <w:szCs w:val="20"/>
                <w:shd w:val="clear" w:color="auto" w:fill="auto"/>
                <w:lang w:val="ru-RU" w:eastAsia="ru-RU" w:bidi="ru-RU"/>
              </w:rPr>
              <w:t>Оригинал* (артикул - А0074200320)</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180"/>
              <w:jc w:val="left"/>
              <w:rPr>
                <w:sz w:val="20"/>
                <w:szCs w:val="20"/>
              </w:rPr>
            </w:pPr>
            <w:r>
              <w:rPr>
                <w:color w:val="000000"/>
                <w:spacing w:val="0"/>
                <w:w w:val="100"/>
                <w:position w:val="0"/>
                <w:sz w:val="20"/>
                <w:szCs w:val="20"/>
                <w:shd w:val="clear" w:color="auto" w:fill="auto"/>
                <w:lang w:val="ru-RU" w:eastAsia="ru-RU" w:bidi="ru-RU"/>
              </w:rPr>
              <w:t>шт.</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17 744,00</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17 744,00</w:t>
            </w:r>
          </w:p>
        </w:tc>
      </w:tr>
      <w:tr>
        <w:trPr>
          <w:trHeight w:val="792"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6</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64" w:lineRule="auto"/>
              <w:ind w:left="0" w:right="0" w:firstLine="0"/>
              <w:jc w:val="center"/>
              <w:rPr>
                <w:sz w:val="20"/>
                <w:szCs w:val="20"/>
              </w:rPr>
            </w:pPr>
            <w:r>
              <w:rPr>
                <w:color w:val="000000"/>
                <w:spacing w:val="0"/>
                <w:w w:val="100"/>
                <w:position w:val="0"/>
                <w:sz w:val="20"/>
                <w:szCs w:val="20"/>
                <w:shd w:val="clear" w:color="auto" w:fill="auto"/>
                <w:lang w:val="ru-RU" w:eastAsia="ru-RU" w:bidi="ru-RU"/>
              </w:rPr>
              <w:t>Датчик износа тормозных колодок задний</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76" w:lineRule="auto"/>
              <w:ind w:left="0" w:right="0" w:firstLine="0"/>
              <w:jc w:val="center"/>
              <w:rPr>
                <w:sz w:val="20"/>
                <w:szCs w:val="20"/>
              </w:rPr>
            </w:pPr>
            <w:r>
              <w:rPr>
                <w:color w:val="000000"/>
                <w:spacing w:val="0"/>
                <w:w w:val="100"/>
                <w:position w:val="0"/>
                <w:sz w:val="20"/>
                <w:szCs w:val="20"/>
                <w:shd w:val="clear" w:color="auto" w:fill="auto"/>
                <w:lang w:val="ru-RU" w:eastAsia="ru-RU" w:bidi="ru-RU"/>
              </w:rPr>
              <w:t>Оригинал* (артикул - А2115401717) или эквивалент</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180"/>
              <w:jc w:val="left"/>
              <w:rPr>
                <w:sz w:val="20"/>
                <w:szCs w:val="20"/>
              </w:rPr>
            </w:pPr>
            <w:r>
              <w:rPr>
                <w:color w:val="000000"/>
                <w:spacing w:val="0"/>
                <w:w w:val="100"/>
                <w:position w:val="0"/>
                <w:sz w:val="20"/>
                <w:szCs w:val="20"/>
                <w:shd w:val="clear" w:color="auto" w:fill="auto"/>
                <w:lang w:val="ru-RU" w:eastAsia="ru-RU" w:bidi="ru-RU"/>
              </w:rPr>
              <w:t>шт.</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356,00</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356,00</w:t>
            </w:r>
          </w:p>
        </w:tc>
      </w:tr>
      <w:tr>
        <w:trPr>
          <w:trHeight w:val="437" w:hRule="exact"/>
        </w:trPr>
        <w:tc>
          <w:tcPr>
            <w:gridSpan w:val="6"/>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ИТОГО:</w:t>
            </w:r>
          </w:p>
        </w:tc>
        <w:tc>
          <w:tcPr>
            <w:tcBorders>
              <w:top w:val="single" w:sz="4"/>
              <w:left w:val="single" w:sz="4"/>
              <w:bottom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169 269,00</w:t>
            </w:r>
          </w:p>
        </w:tc>
      </w:tr>
    </w:tbl>
    <w:p>
      <w:pPr>
        <w:widowControl w:val="0"/>
        <w:spacing w:after="299" w:line="1" w:lineRule="exact"/>
      </w:pP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адрес Заявителя был направлен проект контракта посредством электронной торговой площадки, цена которого была снижена на 15%, т.е. была применена преференция в соответствии с приказом Минфина России от 04.06.2018г. №126н.</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представленных доводов Заявителя следует, что требуемые запасные части на территории РФ и стран ЕАЭС не производятся и никогда не производились, особенно в настоящее время, когда большинство иностранных автопроизводителей официально покинули российский рынок и свернули все виды производства.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отмечает Заявитель, в приказе Министерства промышленности и торговли Российской Федерации от 21 июля 2023 г. № 2701 «Об утверждении перечня товаров (групп товаров), в отношении которых не применяются положения статей 1252, 1254, пункта 5 статьи 1286.1, статей 1301, 1311, 1406.1, подпункта 1 статьи 1446, статей 1472, 1515 и 1537 Гражданского кодекса Российской Федерации при условии введения указанных товаров (групп товаров) в оборот за пределами территории Российской Федерации правообладателями (патентообладателями), в том числе и МЕКСЕОЕ8-ВЕН2.</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Заявитель считает, что участник, который прописал в заявке, что данные позиции выпускаются в России или странах ЕАЭС, предоставил недостоверную информацию.</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представленным пояснениям представителя Заказчика, участник закупки, подавший заявку № 2148406 (ООО «Кардан», ИНН 7604396291), задекларировал страну происхождения товара «Государства члены ЕАЭС», в связи с чем применяются условия, установленные пп. а) части 1.3. приказа №126н, а именно: контракт заключается по цене, сниженной на 15 процентов в отношении товаров, указанных в приложении № 1 к приказу №126н.</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Заказчик пояснил, что в своей жалобе ИП Лунин С.М. голословно утверждает, что тормозные колодки и диски для автомобилей марки Мегсебез-Вепх в странах ЕАЭС никогда не производились и не производятся, не приложив при этом ни одного подтверждающего документа.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отметил, что в состав ЕАЭС входят следующие страны: Армения, Беларусь, Казахстан, Кыргызстан, Россия. В части этих стран осуществляется производство не только запасных частей, но и транспортных средств, в связи с чем, утверждение ИП Лунина С.М. необоснованно.</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заседания Комиссии представителем Заказчика было заявлено ходатайство об истребовании у ООО «Кардан» (заявка № 2148406) документов, подтверждающих планируемую поставку запасных частей для автомобиля марки Мегсебез-Вепх 8 500, страной происхождения которых является Российская Федерация (сертификаты, накладные, контракты/договоры с поставщиками и т.д.).</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Татарстанского УФАС России удовлетворено вышеуказанное ходатайство, ввиду чего направлен запрос в адрес ООО «Кардан» о предоставлении сведений и документов, подтверждающих российское происхождение предлагаемых к поставке товаров и объявлен перерыв на 01.11.2024г. в 14:30.</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После перерыва Комиссией Татарстанского УФАС было установлено следующее.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Ответного письма от ООО «Кардан» в адрес Татарстанского УФАС России не поступило.</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Татарстанским УФАС России осуществлен звонок по номеру +74852679787, в ходе которого представителем ООО «Кардан» было пояснено, что на данный момент подтверждения российского производства товара не имеется, так как данный товар организацией еще не закуплен.</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Татарстанского УФАС России отмечает, что несмотря на то, что Закон о контрактной системе и Приказ №126н не содержат указание на конкретный документ, который должен быть представлен в подтверждение происхождения товара на территории Российской Федерации, само по себе указание участником аукциона в заявке на то, что товары произведены в Российской Федерации, не подтверждает соответствие предлагаемых товаров условиям, запретам, ограничениям, установленным уполномоченным органом в соответствии со статьей 14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рассматриваемом случае, учитывая предмет и требования описания объекта закупки, указание одним из участников закупки в заявке сведений о том, что поставляемый товар произведен в Российской Федерации, нельзя признать соблюдением требования о предоставлении документа, позволяющего идентифицировать товар как происходящий на территории определенного географического объекта.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из многочисленно размещённых общедоступных сведений в сети «Интернет» следует, что на сегодняшний день, ввиду ухода с рынка Российской Федерации торговой марки Мегсебез-Вепз, поставка оригинальных комплектующих и запчастей в принципе невозможна, что как следствие, также создает предпосылки для возможности поставки не оригинального товара производителя Мегсебез, в том числе контрафактного под видом оригинального товара.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этой связи, в указанном случае простое указание в заявке, что поставке подлежат товары из Российской Федерации, не является надлежащим подтверждением страны происхождения товара в соответствии с Законом о контрактной системе для целей Приказа № 126н.</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Указанное соответствует также правовой позиции, изложенной в Постановлении Арбитражного суда Западно-Сибирского округа от 23.06.2021 № </w:t>
      </w:r>
      <w:r>
        <w:rPr>
          <w:color w:val="000000"/>
          <w:spacing w:val="0"/>
          <w:w w:val="100"/>
          <w:position w:val="0"/>
          <w:shd w:val="clear" w:color="auto" w:fill="auto"/>
          <w:lang w:val="ru-RU" w:eastAsia="ru-RU" w:bidi="ru-RU"/>
        </w:rPr>
        <w:t>Ф04-1996/2021 по делу № А46-9712/2020, Постановлении Арбитражного суда Западно-Сибирского округа от 04.02.2021 по делу № А46-4164/2020.</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таких обстоятельствах в совокупности, Комиссия отмечает, что снижение в результате действий заинтересованного лица цены контракта на 15% в отсутствие достоверных сведений о том, что закупаемые оригинальные расходные материалы и запчасти производятся на территории Российской Федерации, а также в отсутствие предоставленного участником закупки документа в подтверждение названных обстоятельств, напрямую нарушают права и интересы заявителя в сфере предпринимательской деятельности.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Комиссия по результатам анализа приходит к выводу, что в рассматриваемом случае, учитывая предмет проводимой закупки, применение предусмотренных подпунктом 1.3 пункта 1 Приказа №126н понижающих коэффициентов в отношении предложенной заявителем цены контракта при проведении аукциона некорректно.</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Довод заявителя признан обоснованным.</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Комиссия приходит к выводу о необходимости выдачи Заказчику, Оператору ЭТП предписания об осуществлении действий, направленных на повторное направление проекта контракта победителю без применения понижающих коэффициентов, предусмотренных Приказом Минфина России от 04.06.2018г. № 126н в отношении предложенной победителем закупки цены контракта.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учитывая, что при рассмотрении заявок и проведении процедуры электронного аукциона Заказчик действовал в соответствии требованиями действующего законодательства, в указанной части оснований для возбуждения административного производства не имеется.</w:t>
      </w:r>
    </w:p>
    <w:p>
      <w:pPr>
        <w:pStyle w:val="Style12"/>
        <w:keepNext w:val="0"/>
        <w:keepLines w:val="0"/>
        <w:widowControl w:val="0"/>
        <w:shd w:val="clear" w:color="auto" w:fill="auto"/>
        <w:bidi w:val="0"/>
        <w:spacing w:before="0" w:after="32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руководствуясь пунктом 2 части 22 статьи 99,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pPr>
        <w:pStyle w:val="Style12"/>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РЕШИЛА:</w:t>
      </w:r>
    </w:p>
    <w:p>
      <w:pPr>
        <w:pStyle w:val="Style12"/>
        <w:keepNext w:val="0"/>
        <w:keepLines w:val="0"/>
        <w:widowControl w:val="0"/>
        <w:numPr>
          <w:ilvl w:val="0"/>
          <w:numId w:val="5"/>
        </w:numPr>
        <w:shd w:val="clear" w:color="auto" w:fill="auto"/>
        <w:tabs>
          <w:tab w:pos="142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заявителя ИП Лунина С.М. (вх. №11493/ж от 25.10.2024г.) на действия заказчика ГБУ "ХОЗУ ПРИ КАБИНЕТЕ МИНИСТРОВ РЕСПУБЛИКИ ТАТАРСТАН" при проведении закупки №0311200003024000263 на предмет: «Поставка запасных частей для автомобиля марки Мегсебез-Вепх 8 500» обоснованной.</w:t>
      </w:r>
    </w:p>
    <w:p>
      <w:pPr>
        <w:pStyle w:val="Style12"/>
        <w:keepNext w:val="0"/>
        <w:keepLines w:val="0"/>
        <w:widowControl w:val="0"/>
        <w:numPr>
          <w:ilvl w:val="0"/>
          <w:numId w:val="5"/>
        </w:numPr>
        <w:shd w:val="clear" w:color="auto" w:fill="auto"/>
        <w:tabs>
          <w:tab w:pos="1421" w:val="left"/>
        </w:tabs>
        <w:bidi w:val="0"/>
        <w:spacing w:before="0" w:after="0" w:line="240" w:lineRule="auto"/>
        <w:ind w:left="0" w:right="0" w:firstLine="620"/>
        <w:jc w:val="both"/>
      </w:pPr>
      <w:r>
        <w:rPr>
          <w:color w:val="000000"/>
          <w:spacing w:val="0"/>
          <w:w w:val="100"/>
          <w:position w:val="0"/>
          <w:shd w:val="clear" w:color="auto" w:fill="auto"/>
          <w:lang w:val="ru-RU" w:eastAsia="ru-RU" w:bidi="ru-RU"/>
        </w:rPr>
        <w:t>Выдать заказчику ГБУ "ХОЗУ ПРИ КАБИНЕТЕ МИНИСТРОВ РЕСПУБЛИКИ ТАТАРСТАН", оператору ЭТП предписание об осуществлении действий, направленных на повторное направление проекта контракта победителю без применения понижающих коэффициентов, предусмотренных Приказом Минфина России от 04.06.2018г. № 126н в отношении предложенной победителем закупки цены контракта.</w:t>
      </w:r>
    </w:p>
    <w:p>
      <w:pPr>
        <w:pStyle w:val="Style12"/>
        <w:keepNext w:val="0"/>
        <w:keepLines w:val="0"/>
        <w:widowControl w:val="0"/>
        <w:numPr>
          <w:ilvl w:val="0"/>
          <w:numId w:val="5"/>
        </w:numPr>
        <w:shd w:val="clear" w:color="auto" w:fill="auto"/>
        <w:tabs>
          <w:tab w:pos="1981" w:val="left"/>
        </w:tabs>
        <w:bidi w:val="0"/>
        <w:spacing w:before="0" w:after="0" w:line="240" w:lineRule="auto"/>
        <w:ind w:left="0" w:right="0" w:firstLine="560"/>
        <w:jc w:val="both"/>
        <w:sectPr>
          <w:headerReference w:type="default" r:id="rId11"/>
          <w:footerReference w:type="default" r:id="rId12"/>
          <w:footnotePr>
            <w:pos w:val="pageBottom"/>
            <w:numFmt w:val="decimal"/>
            <w:numRestart w:val="continuous"/>
          </w:footnotePr>
          <w:type w:val="continuous"/>
          <w:pgSz w:w="11900" w:h="16840"/>
          <w:pgMar w:top="1135" w:right="623" w:bottom="1309" w:left="967" w:header="0" w:footer="881" w:gutter="0"/>
          <w:cols w:space="720"/>
          <w:noEndnote/>
          <w:rtlGutter w:val="0"/>
          <w:docGrid w:linePitch="360"/>
        </w:sectPr>
      </w:pPr>
      <w:r>
        <w:rPr>
          <w:color w:val="000000"/>
          <w:spacing w:val="0"/>
          <w:w w:val="100"/>
          <w:position w:val="0"/>
          <w:shd w:val="clear" w:color="auto" w:fill="auto"/>
          <w:lang w:val="ru-RU" w:eastAsia="ru-RU" w:bidi="ru-RU"/>
        </w:rPr>
        <w:t>Материалы должностному лицу Управления Федеральной</w:t>
      </w:r>
    </w:p>
    <w:p>
      <w:pPr>
        <w:widowControl w:val="0"/>
        <w:spacing w:line="179" w:lineRule="exact"/>
        <w:rPr>
          <w:sz w:val="14"/>
          <w:szCs w:val="14"/>
        </w:rPr>
      </w:pPr>
    </w:p>
    <w:p>
      <w:pPr>
        <w:widowControl w:val="0"/>
        <w:spacing w:line="1" w:lineRule="exact"/>
        <w:sectPr>
          <w:footnotePr>
            <w:pos w:val="pageBottom"/>
            <w:numFmt w:val="decimal"/>
            <w:numRestart w:val="continuous"/>
          </w:footnotePr>
          <w:pgSz w:w="11900" w:h="16840"/>
          <w:pgMar w:top="1015" w:right="642" w:bottom="1015" w:left="996" w:header="0" w:footer="3" w:gutter="0"/>
          <w:cols w:space="720"/>
          <w:noEndnote/>
          <w:rtlGutter w:val="0"/>
          <w:docGrid w:linePitch="360"/>
        </w:sectPr>
      </w:pPr>
    </w:p>
    <w:p>
      <w:pPr>
        <w:pStyle w:val="Style12"/>
        <w:keepNext w:val="0"/>
        <w:keepLines w:val="0"/>
        <w:framePr w:w="10258" w:h="998" w:wrap="none" w:vAnchor="text" w:hAnchor="page" w:x="1002"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антимонопольной службы по Республике Татарстан для рассмотрения вопроса о необходимости возбуждения административного производства не передавать.</w:t>
      </w:r>
    </w:p>
    <w:p>
      <w:pPr>
        <w:pStyle w:val="Style12"/>
        <w:keepNext w:val="0"/>
        <w:keepLines w:val="0"/>
        <w:framePr w:w="10258" w:h="998" w:wrap="none" w:vAnchor="text" w:hAnchor="page" w:x="1002" w:y="21"/>
        <w:widowControl w:val="0"/>
        <w:shd w:val="clear" w:color="auto" w:fill="auto"/>
        <w:bidi w:val="0"/>
        <w:spacing w:before="0" w:after="0" w:line="240" w:lineRule="auto"/>
        <w:ind w:left="0" w:right="0" w:firstLine="700"/>
        <w:jc w:val="left"/>
      </w:pPr>
      <w:r>
        <w:rPr>
          <w:color w:val="000000"/>
          <w:spacing w:val="0"/>
          <w:w w:val="100"/>
          <w:position w:val="0"/>
          <w:shd w:val="clear" w:color="auto" w:fill="auto"/>
          <w:lang w:val="ru-RU" w:eastAsia="ru-RU" w:bidi="ru-RU"/>
        </w:rPr>
        <w:t>Решение Комиссии может быть обжаловано в судебном порядке в течение трех</w:t>
      </w:r>
    </w:p>
    <w:p>
      <w:pPr>
        <w:pStyle w:val="Style12"/>
        <w:keepNext w:val="0"/>
        <w:keepLines w:val="0"/>
        <w:framePr w:w="3547" w:h="350" w:wrap="none" w:vAnchor="text" w:hAnchor="page" w:x="997" w:y="100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месяцев со дня его принятия.</w:t>
      </w:r>
    </w:p>
    <w:p>
      <w:pPr>
        <w:pStyle w:val="Style12"/>
        <w:keepNext w:val="0"/>
        <w:keepLines w:val="0"/>
        <w:framePr w:w="2986" w:h="355" w:wrap="none" w:vAnchor="text" w:hAnchor="page" w:x="1103" w:y="194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12"/>
        <w:keepNext w:val="0"/>
        <w:keepLines w:val="0"/>
        <w:framePr w:w="2131" w:h="341" w:wrap="none" w:vAnchor="text" w:hAnchor="page" w:x="1103" w:y="259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27"/>
        <w:keepNext w:val="0"/>
        <w:keepLines w:val="0"/>
        <w:framePr w:w="1814" w:h="350" w:wrap="none" w:vAnchor="text" w:hAnchor="page" w:x="9291" w:y="258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Л.А. Акперова</w:t>
      </w:r>
    </w:p>
    <w:p>
      <w:pPr>
        <w:pStyle w:val="Style12"/>
        <w:keepNext w:val="0"/>
        <w:keepLines w:val="0"/>
        <w:framePr w:w="1574" w:h="350" w:wrap="none" w:vAnchor="text" w:hAnchor="page" w:x="9503" w:y="194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Яфизов</w:t>
      </w:r>
    </w:p>
    <w:p>
      <w:pPr>
        <w:pStyle w:val="Style12"/>
        <w:keepNext w:val="0"/>
        <w:keepLines w:val="0"/>
        <w:framePr w:w="1795" w:h="341" w:wrap="none" w:vAnchor="text" w:hAnchor="page" w:x="9359" w:y="3236"/>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И.Г. Никитина</w:t>
      </w:r>
    </w:p>
    <w:p>
      <w:pPr>
        <w:pStyle w:val="Style6"/>
        <w:keepNext w:val="0"/>
        <w:keepLines w:val="0"/>
        <w:framePr w:w="2203" w:h="586" w:wrap="none" w:vAnchor="text" w:hAnchor="page" w:x="1002" w:y="12711"/>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Исп.: Никитина И.Г., Тел. 8(843)293-10-91</w:t>
      </w:r>
    </w:p>
    <w:p>
      <w:pPr>
        <w:widowControl w:val="0"/>
        <w:spacing w:line="360" w:lineRule="exact"/>
      </w:pPr>
      <w:r>
        <w:drawing>
          <wp:anchor distT="0" distB="0" distL="0" distR="0" simplePos="0" relativeHeight="62914696" behindDoc="1" locked="0" layoutInCell="1" allowOverlap="1">
            <wp:simplePos x="0" y="0"/>
            <wp:positionH relativeFrom="page">
              <wp:posOffset>3848100</wp:posOffset>
            </wp:positionH>
            <wp:positionV relativeFrom="paragraph">
              <wp:posOffset>591185</wp:posOffset>
            </wp:positionV>
            <wp:extent cx="951230" cy="1877695"/>
            <wp:wrapNone/>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3"/>
                    <a:stretch/>
                  </pic:blipFill>
                  <pic:spPr>
                    <a:xfrm>
                      <a:ext cx="951230" cy="1877695"/>
                    </a:xfrm>
                    <a:prstGeom prst="rect"/>
                  </pic:spPr>
                </pic:pic>
              </a:graphicData>
            </a:graphic>
          </wp:anchor>
        </w:drawing>
      </w:r>
      <w:r>
        <w:drawing>
          <wp:anchor distT="0" distB="0" distL="0" distR="862330" simplePos="0" relativeHeight="62914697" behindDoc="1" locked="0" layoutInCell="1" allowOverlap="1">
            <wp:simplePos x="0" y="0"/>
            <wp:positionH relativeFrom="page">
              <wp:posOffset>5228590</wp:posOffset>
            </wp:positionH>
            <wp:positionV relativeFrom="paragraph">
              <wp:posOffset>1398905</wp:posOffset>
            </wp:positionV>
            <wp:extent cx="963295" cy="1505585"/>
            <wp:wrapNone/>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5"/>
                    <a:stretch/>
                  </pic:blipFill>
                  <pic:spPr>
                    <a:xfrm>
                      <a:ext cx="963295" cy="150558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95" w:line="1" w:lineRule="exact"/>
      </w:pPr>
    </w:p>
    <w:p>
      <w:pPr>
        <w:widowControl w:val="0"/>
        <w:spacing w:line="1" w:lineRule="exact"/>
      </w:pPr>
    </w:p>
    <w:sectPr>
      <w:footnotePr>
        <w:pos w:val="pageBottom"/>
        <w:numFmt w:val="decimal"/>
        <w:numRestart w:val="continuous"/>
      </w:footnotePr>
      <w:type w:val="continuous"/>
      <w:pgSz w:w="11900" w:h="16840"/>
      <w:pgMar w:top="1015" w:right="642" w:bottom="1015" w:left="996" w:header="0" w:footer="587"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775335</wp:posOffset>
              </wp:positionH>
              <wp:positionV relativeFrom="page">
                <wp:posOffset>10343515</wp:posOffset>
              </wp:positionV>
              <wp:extent cx="563880" cy="118745"/>
              <wp:wrapNone/>
              <wp:docPr id="7" name="Shape 7"/>
              <a:graphic xmlns:a="http://schemas.openxmlformats.org/drawingml/2006/main">
                <a:graphicData uri="http://schemas.microsoft.com/office/word/2010/wordprocessingShape">
                  <wps:wsp>
                    <wps:cNvSpPr txBox="1"/>
                    <wps:spPr>
                      <a:xfrm>
                        <a:ext cx="563880" cy="11874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6"/>
                              <w:szCs w:val="26"/>
                            </w:rPr>
                          </w:pPr>
                          <w:r>
                            <w:rPr>
                              <w:rFonts w:ascii="Palatino Linotype" w:eastAsia="Palatino Linotype" w:hAnsi="Palatino Linotype" w:cs="Palatino Linotype"/>
                              <w:color w:val="000000"/>
                              <w:spacing w:val="0"/>
                              <w:w w:val="100"/>
                              <w:position w:val="0"/>
                              <w:sz w:val="26"/>
                              <w:szCs w:val="26"/>
                              <w:shd w:val="clear" w:color="auto" w:fill="auto"/>
                              <w:lang w:val="ru-RU" w:eastAsia="ru-RU" w:bidi="ru-RU"/>
                            </w:rPr>
                            <w:t>239372</w:t>
                          </w:r>
                        </w:p>
                      </w:txbxContent>
                    </wps:txbx>
                    <wps:bodyPr wrap="none" lIns="0" tIns="0" rIns="0" bIns="0">
                      <a:spAutoFit/>
                    </wps:bodyPr>
                  </wps:wsp>
                </a:graphicData>
              </a:graphic>
            </wp:anchor>
          </w:drawing>
        </mc:Choice>
        <mc:Fallback>
          <w:pict>
            <v:shape id="_x0000_s1033" type="#_x0000_t202" style="position:absolute;margin-left:61.050000000000004pt;margin-top:814.45000000000005pt;width:44.399999999999999pt;height:9.3499999999999996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6"/>
                        <w:szCs w:val="26"/>
                      </w:rPr>
                    </w:pPr>
                    <w:r>
                      <w:rPr>
                        <w:rFonts w:ascii="Palatino Linotype" w:eastAsia="Palatino Linotype" w:hAnsi="Palatino Linotype" w:cs="Palatino Linotype"/>
                        <w:color w:val="000000"/>
                        <w:spacing w:val="0"/>
                        <w:w w:val="100"/>
                        <w:position w:val="0"/>
                        <w:sz w:val="26"/>
                        <w:szCs w:val="26"/>
                        <w:shd w:val="clear" w:color="auto" w:fill="auto"/>
                        <w:lang w:val="ru-RU" w:eastAsia="ru-RU" w:bidi="ru-RU"/>
                      </w:rPr>
                      <w:t>239372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3851275</wp:posOffset>
              </wp:positionH>
              <wp:positionV relativeFrom="page">
                <wp:posOffset>516890</wp:posOffset>
              </wp:positionV>
              <wp:extent cx="64135" cy="106680"/>
              <wp:wrapNone/>
              <wp:docPr id="5" name="Shape 5"/>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3.25pt;margin-top:40.700000000000003pt;width:5.0499999999999998pt;height:8.4000000000000004pt;z-index:-18874406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3853815</wp:posOffset>
              </wp:positionH>
              <wp:positionV relativeFrom="page">
                <wp:posOffset>422275</wp:posOffset>
              </wp:positionV>
              <wp:extent cx="54610" cy="106680"/>
              <wp:wrapNone/>
              <wp:docPr id="11" name="Shape 11"/>
              <a:graphic xmlns:a="http://schemas.openxmlformats.org/drawingml/2006/main">
                <a:graphicData uri="http://schemas.microsoft.com/office/word/2010/wordprocessingShape">
                  <wps:wsp>
                    <wps:cNvSpPr txBox="1"/>
                    <wps:spPr>
                      <a:xfrm>
                        <a:ext cx="54610" cy="1066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3.44999999999999pt;margin-top:33.25pt;width:4.2999999999999998pt;height:8.4000000000000004pt;z-index:-188744059;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6F93CB"/>
      <w:u w:val="none"/>
    </w:rPr>
  </w:style>
  <w:style w:type="character" w:customStyle="1" w:styleId="CharStyle5">
    <w:name w:val="Основной текст (2)_"/>
    <w:basedOn w:val="DefaultParagraphFont"/>
    <w:link w:val="Style4"/>
    <w:rPr>
      <w:rFonts w:ascii="Times New Roman" w:eastAsia="Times New Roman" w:hAnsi="Times New Roman" w:cs="Times New Roman"/>
      <w:b w:val="0"/>
      <w:bCs w:val="0"/>
      <w:i w:val="0"/>
      <w:iCs w:val="0"/>
      <w:smallCaps w:val="0"/>
      <w:strike w:val="0"/>
      <w:color w:val="4F6B91"/>
      <w:sz w:val="15"/>
      <w:szCs w:val="15"/>
      <w:u w:val="none"/>
    </w:rPr>
  </w:style>
  <w:style w:type="character" w:customStyle="1" w:styleId="CharStyle7">
    <w:name w:val="Основной текст (4)_"/>
    <w:basedOn w:val="DefaultParagraphFont"/>
    <w:link w:val="Style6"/>
    <w:rPr>
      <w:rFonts w:ascii="Times New Roman" w:eastAsia="Times New Roman" w:hAnsi="Times New Roman" w:cs="Times New Roman"/>
      <w:b w:val="0"/>
      <w:bCs w:val="0"/>
      <w:i w:val="0"/>
      <w:iCs w:val="0"/>
      <w:smallCaps w:val="0"/>
      <w:strike w:val="0"/>
      <w:sz w:val="20"/>
      <w:szCs w:val="20"/>
      <w:u w:val="none"/>
    </w:rPr>
  </w:style>
  <w:style w:type="character" w:customStyle="1" w:styleId="CharStyle11">
    <w:name w:val="Основной текст (5)_"/>
    <w:basedOn w:val="DefaultParagraphFont"/>
    <w:link w:val="Style10"/>
    <w:rPr>
      <w:rFonts w:ascii="Arial" w:eastAsia="Arial" w:hAnsi="Arial" w:cs="Arial"/>
      <w:b w:val="0"/>
      <w:bCs w:val="0"/>
      <w:i w:val="0"/>
      <w:iCs w:val="0"/>
      <w:smallCaps w:val="0"/>
      <w:strike w:val="0"/>
      <w:sz w:val="20"/>
      <w:szCs w:val="20"/>
      <w:u w:val="none"/>
      <w:lang w:val="1024"/>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Колонтитул (2)_"/>
    <w:basedOn w:val="DefaultParagraphFont"/>
    <w:link w:val="Style16"/>
    <w:rPr>
      <w:rFonts w:ascii="Times New Roman" w:eastAsia="Times New Roman" w:hAnsi="Times New Roman" w:cs="Times New Roman"/>
      <w:b w:val="0"/>
      <w:bCs w:val="0"/>
      <w:i w:val="0"/>
      <w:iCs w:val="0"/>
      <w:smallCaps w:val="0"/>
      <w:strike w:val="0"/>
      <w:sz w:val="20"/>
      <w:szCs w:val="20"/>
      <w:u w:val="none"/>
    </w:rPr>
  </w:style>
  <w:style w:type="character" w:customStyle="1" w:styleId="CharStyle22">
    <w:name w:val="Другое_"/>
    <w:basedOn w:val="DefaultParagraphFont"/>
    <w:link w:val="Style21"/>
    <w:rPr>
      <w:rFonts w:ascii="Times New Roman" w:eastAsia="Times New Roman" w:hAnsi="Times New Roman" w:cs="Times New Roman"/>
      <w:b w:val="0"/>
      <w:bCs w:val="0"/>
      <w:i w:val="0"/>
      <w:iCs w:val="0"/>
      <w:smallCaps w:val="0"/>
      <w:strike w:val="0"/>
      <w:sz w:val="28"/>
      <w:szCs w:val="28"/>
      <w:u w:val="none"/>
    </w:rPr>
  </w:style>
  <w:style w:type="character" w:customStyle="1" w:styleId="CharStyle28">
    <w:name w:val="Подпись к картинке_"/>
    <w:basedOn w:val="DefaultParagraphFont"/>
    <w:link w:val="Style27"/>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Основной текст (3)"/>
    <w:basedOn w:val="Normal"/>
    <w:link w:val="CharStyle3"/>
    <w:pPr>
      <w:widowControl w:val="0"/>
      <w:shd w:val="clear" w:color="auto" w:fill="auto"/>
      <w:spacing w:after="260"/>
      <w:jc w:val="center"/>
    </w:pPr>
    <w:rPr>
      <w:rFonts w:ascii="Times New Roman" w:eastAsia="Times New Roman" w:hAnsi="Times New Roman" w:cs="Times New Roman"/>
      <w:b/>
      <w:bCs/>
      <w:i w:val="0"/>
      <w:iCs w:val="0"/>
      <w:smallCaps w:val="0"/>
      <w:strike w:val="0"/>
      <w:color w:val="6F93CB"/>
      <w:u w:val="none"/>
    </w:rPr>
  </w:style>
  <w:style w:type="paragraph" w:customStyle="1" w:styleId="Style4">
    <w:name w:val="Основной текст (2)"/>
    <w:basedOn w:val="Normal"/>
    <w:link w:val="CharStyle5"/>
    <w:pPr>
      <w:widowControl w:val="0"/>
      <w:shd w:val="clear" w:color="auto" w:fill="auto"/>
      <w:spacing w:line="278" w:lineRule="auto"/>
      <w:jc w:val="center"/>
    </w:pPr>
    <w:rPr>
      <w:rFonts w:ascii="Times New Roman" w:eastAsia="Times New Roman" w:hAnsi="Times New Roman" w:cs="Times New Roman"/>
      <w:b w:val="0"/>
      <w:bCs w:val="0"/>
      <w:i w:val="0"/>
      <w:iCs w:val="0"/>
      <w:smallCaps w:val="0"/>
      <w:strike w:val="0"/>
      <w:color w:val="4F6B91"/>
      <w:sz w:val="15"/>
      <w:szCs w:val="15"/>
      <w:u w:val="none"/>
    </w:rPr>
  </w:style>
  <w:style w:type="paragraph" w:customStyle="1" w:styleId="Style6">
    <w:name w:val="Основной текст (4)"/>
    <w:basedOn w:val="Normal"/>
    <w:link w:val="CharStyle7"/>
    <w:pPr>
      <w:widowControl w:val="0"/>
      <w:shd w:val="clear" w:color="auto" w:fill="auto"/>
      <w:spacing w:line="290" w:lineRule="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0">
    <w:name w:val="Основной текст (5)"/>
    <w:basedOn w:val="Normal"/>
    <w:link w:val="CharStyle11"/>
    <w:pPr>
      <w:widowControl w:val="0"/>
      <w:shd w:val="clear" w:color="auto" w:fill="auto"/>
    </w:pPr>
    <w:rPr>
      <w:rFonts w:ascii="Arial" w:eastAsia="Arial" w:hAnsi="Arial" w:cs="Arial"/>
      <w:b w:val="0"/>
      <w:bCs w:val="0"/>
      <w:i w:val="0"/>
      <w:iCs w:val="0"/>
      <w:smallCaps w:val="0"/>
      <w:strike w:val="0"/>
      <w:sz w:val="20"/>
      <w:szCs w:val="20"/>
      <w:u w:val="none"/>
      <w:lang w:val="1024"/>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Колонтитул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1">
    <w:name w:val="Другое"/>
    <w:basedOn w:val="Normal"/>
    <w:link w:val="CharStyle2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7">
    <w:name w:val="Подпись к картинке"/>
    <w:basedOn w:val="Normal"/>
    <w:link w:val="CharStyle28"/>
    <w:pPr>
      <w:widowControl w:val="0"/>
      <w:shd w:val="clear" w:color="auto" w:fill="auto"/>
      <w:jc w:val="right"/>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s>
</file>