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«Матрица»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423850, Республика Татарстан, город Набережные Челны, улица Аэродромная, д.</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23/26</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кега1а2018@таП.ш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«КМКБ №20 им. И.С. Берзона» ул. Инструментальная, зд. 12, г. Красноярск, Красноярский край, 660123</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V8V820@та^^ш; рта@кгаздкЬ20.ш;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дкЬ20@таП.ш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 -Тендер»</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921" w:bottom="1313" w:left="1140" w:header="0" w:footer="3" w:gutter="0"/>
          <w:pgNumType w:start="1"/>
          <w:cols w:num="2" w:space="720" w:equalWidth="0">
            <w:col w:w="4090" w:space="1176"/>
            <w:col w:w="4574"/>
          </w:cols>
          <w:noEndnote/>
          <w:titlePg/>
          <w:rtlGutter w:val="0"/>
          <w:docGrid w:linePitch="360"/>
        </w:sectPr>
      </w:pPr>
      <w:r>
        <w:rPr>
          <w:color w:val="000000"/>
          <w:spacing w:val="0"/>
          <w:w w:val="100"/>
          <w:position w:val="0"/>
          <w:sz w:val="24"/>
          <w:szCs w:val="24"/>
          <w:shd w:val="clear" w:color="auto" w:fill="auto"/>
          <w:lang w:val="ru-RU" w:eastAsia="ru-RU" w:bidi="ru-RU"/>
        </w:rPr>
        <w:t>ко@118-1епдег.ш; тГо@1Д8-1епдег.ш</w:t>
      </w: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44" w:right="0" w:bottom="1253" w:left="0" w:header="0" w:footer="3" w:gutter="0"/>
          <w:cols w:space="720"/>
          <w:noEndnote/>
          <w:rtlGutter w:val="0"/>
          <w:docGrid w:linePitch="360"/>
        </w:sectPr>
      </w:pPr>
    </w:p>
    <w:p>
      <w:pPr>
        <w:pStyle w:val="Style13"/>
        <w:keepNext w:val="0"/>
        <w:keepLines w:val="0"/>
        <w:widowControl w:val="0"/>
        <w:shd w:val="clear" w:color="auto" w:fill="auto"/>
        <w:bidi w:val="0"/>
        <w:spacing w:before="0" w:after="520" w:line="240" w:lineRule="auto"/>
        <w:ind w:left="0" w:right="0" w:firstLine="0"/>
        <w:jc w:val="center"/>
      </w:pPr>
      <w:r>
        <w:rPr>
          <w:color w:val="000000"/>
          <w:spacing w:val="0"/>
          <w:w w:val="100"/>
          <w:position w:val="0"/>
          <w:sz w:val="24"/>
          <w:szCs w:val="24"/>
          <w:shd w:val="clear" w:color="auto" w:fill="auto"/>
          <w:lang w:val="ru-RU" w:eastAsia="ru-RU" w:bidi="ru-RU"/>
        </w:rPr>
        <w:t>Решение № 024/06/106-3400/2024</w:t>
      </w:r>
    </w:p>
    <w:p>
      <w:pPr>
        <w:pStyle w:val="Style13"/>
        <w:keepNext w:val="0"/>
        <w:keepLines w:val="0"/>
        <w:widowControl w:val="0"/>
        <w:shd w:val="clear" w:color="auto" w:fill="auto"/>
        <w:tabs>
          <w:tab w:pos="8818"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 ноября 2024 года</w:t>
        <w:tab/>
        <w:t>г. Красноярск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управления, М.А. Дударева, члены Комиссии — врио начальника отдела Е.М. Хоменко, ведущий специалист-эксперт, А.А. Грузиненко (далее — Комиссия), рассмотрев жалобу ООО «Матрица» (далее - податель жалобы) на действия заказчика - Краевого государственного бюджетного учреждения здравоохранения «КМКБ №20 им. И.С. Берзона» (далее - заказчик) при проведении электронного аукциона «Поставка с доставкой картриджей для КГБУЗ «КМКБ № 20 им. И.С. Берзона»» (далее - аукцион), извещение №0319200061024000254, на электронной торговой площадке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Существо жалобы: несоответствие извещения о проведении электронного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заказчика, подателя жалобы, оператора электронной площадки было направлено уведомление о содержании жалобы с информацией о месте и времени ее рассмотрения (далее — Уведомление).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 начала заседания Комиссии по рассмотрению жалобы по существу от подателя жалобы в адрес Красноярского УФАС России поступило ходатайство о предоставлении возможности участия в рассмотрении жалобы по существу с использованием системы видео-конференц-связи (далее - ВКС) на основании Уведомления.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необходимостью получения информации о технической возможности смены кода ОКПД2, в заседании Комиссии был объявлен перерыв до 2 ноября до 15 часов 00 минут. В указанное время Комиссия продолжила рассмотрение жалобы в прежнем составе.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Заказчик на указанное заседание явку своего представителя обеспечил. Податель жалобы на </w:t>
      </w:r>
      <w:r>
        <w:rPr>
          <w:color w:val="000000"/>
          <w:spacing w:val="0"/>
          <w:w w:val="100"/>
          <w:position w:val="0"/>
          <w:sz w:val="24"/>
          <w:szCs w:val="24"/>
          <w:shd w:val="clear" w:color="auto" w:fill="auto"/>
          <w:lang w:val="ru-RU" w:eastAsia="ru-RU" w:bidi="ru-RU"/>
        </w:rPr>
        <w:t>указанное заседание обеспечил явку своего представителя посредством ВКС. Личности, полномочия представителей сторон были подтверждены</w:t>
      </w:r>
    </w:p>
    <w:p>
      <w:pPr>
        <w:widowControl w:val="0"/>
        <w:spacing w:line="1" w:lineRule="exact"/>
      </w:pPr>
      <w:r>
        <w:drawing>
          <wp:anchor distT="0" distB="0" distL="0" distR="0" simplePos="0" relativeHeight="125829378" behindDoc="0" locked="0" layoutInCell="1" allowOverlap="1">
            <wp:simplePos x="0" y="0"/>
            <wp:positionH relativeFrom="page">
              <wp:posOffset>717550</wp:posOffset>
            </wp:positionH>
            <wp:positionV relativeFrom="paragraph">
              <wp:posOffset>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в своей жалобе указал следующие доводы:</w:t>
      </w:r>
    </w:p>
    <w:p>
      <w:pPr>
        <w:pStyle w:val="Style13"/>
        <w:keepNext w:val="0"/>
        <w:keepLines w:val="0"/>
        <w:widowControl w:val="0"/>
        <w:numPr>
          <w:ilvl w:val="0"/>
          <w:numId w:val="1"/>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подателя жалобы, заказчик неправомерно указал код ОКПД2 20.59.12.120 «Составы химические, используемые в фотографии, не включенные в другие группировки», тогда как необходимо было установить код ОКПД2 26.20.40.120 «Элементы замены типовые устройств ввода и вывода». В связи с этим, заказчиком неправомерно не было установлено ограничение допуска в соответствии с Постановлением Правительства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 616);</w:t>
      </w:r>
    </w:p>
    <w:p>
      <w:pPr>
        <w:pStyle w:val="Style13"/>
        <w:keepNext w:val="0"/>
        <w:keepLines w:val="0"/>
        <w:widowControl w:val="0"/>
        <w:numPr>
          <w:ilvl w:val="0"/>
          <w:numId w:val="1"/>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подателя жалобы, заказчиком неправомерно установлено требование об оригинальности предлагаемых к поставке картриджей, что ведет к ограничению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проведению электронного аукциона с установлением начальной (максимальной) цены контракта в размере 486 568,22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 5 части 1 статьи 42 Закона о контактной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3"/>
        <w:keepNext w:val="0"/>
        <w:keepLines w:val="0"/>
        <w:widowControl w:val="0"/>
        <w:numPr>
          <w:ilvl w:val="0"/>
          <w:numId w:val="3"/>
        </w:numPr>
        <w:shd w:val="clear" w:color="auto" w:fill="auto"/>
        <w:tabs>
          <w:tab w:pos="7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w:t>
      </w:r>
      <w:r>
        <w:rPr>
          <w:color w:val="000000"/>
          <w:spacing w:val="0"/>
          <w:w w:val="100"/>
          <w:position w:val="0"/>
          <w:sz w:val="24"/>
          <w:szCs w:val="24"/>
          <w:shd w:val="clear" w:color="auto" w:fill="auto"/>
          <w:lang w:val="ru-RU" w:eastAsia="ru-RU" w:bidi="ru-RU"/>
        </w:rPr>
        <w:t>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в случае, если описание товара в соответствии с пунктом 13 Правил формирования КТРУ не сформировано, то есть описание товара Минфином России в позицию КТРУ не включено во вкладку «Описание товара, работы, услуги» позиции КТРУ, то для заказчика не наступают условия применения пункта 4 Правил использования КТРУ в отношении описания товара, не сформированного и не включенного в позицию КТРУ. При этом, заказчик использует при осуществлении закупки позицию КТРУ и самостоятельно осуществляет описание закупаемого товара в соответствии с требованиями статьи 33 Закона о контрактной системе, то есть самостоятельно устанавливает, исходя из объективно существующей потребности, характеристики закупаемого товара. Указанный подход сформирован в письме Минфина России от 25.08.2020 № 24-06-05/74463.</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w:t>
      </w:r>
      <w:r>
        <w:rPr>
          <w:color w:val="000000"/>
          <w:spacing w:val="0"/>
          <w:w w:val="100"/>
          <w:position w:val="0"/>
          <w:sz w:val="24"/>
          <w:szCs w:val="24"/>
          <w:shd w:val="clear" w:color="auto" w:fill="auto"/>
          <w:lang w:val="ru-RU" w:eastAsia="ru-RU" w:bidi="ru-RU"/>
        </w:rPr>
        <w:t>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Правительства РФ от 10 июля 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установлены ограничения на допуск радиоэлектронной продукции, происходящей из иностранных государств.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Абзацем 4 пункта 2 Постановления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3 Постановления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картриджей для элеткрографических печатающих устройств, соответствующих позиции КТРУ 20.59.12.120-00000002, коду ОКПД 20.59.12.120 .</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доводу подателя жалобы заказчиком выбран неверный код ОКПД2 20.59.12.120 «Составы химические, используемые в фотографии, не включенные в другие группировки», поскольку по мнению подателя жалобы, закупаемому заказчиком товару соответствует код по ОКПД2 26.20.40.120 «Элементы замены типовые устройств ввода и вывода».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Код ОКПД2 26.20.40.120 «Элементы замены типовые устройств ввода и вывода», содержащий следующее описание: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«Эта группировка в том числе включает:</w:t>
      </w:r>
    </w:p>
    <w:p>
      <w:pPr>
        <w:pStyle w:val="Style13"/>
        <w:keepNext w:val="0"/>
        <w:keepLines w:val="0"/>
        <w:widowControl w:val="0"/>
        <w:numPr>
          <w:ilvl w:val="0"/>
          <w:numId w:val="3"/>
        </w:numPr>
        <w:shd w:val="clear" w:color="auto" w:fill="auto"/>
        <w:tabs>
          <w:tab w:pos="7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емкости с тонером и тонерные отсеки для лазерных и светодиодных принтеров и многофункциональных печатающих устройств;</w:t>
      </w:r>
    </w:p>
    <w:p>
      <w:pPr>
        <w:pStyle w:val="Style13"/>
        <w:keepNext w:val="0"/>
        <w:keepLines w:val="0"/>
        <w:widowControl w:val="0"/>
        <w:numPr>
          <w:ilvl w:val="0"/>
          <w:numId w:val="3"/>
        </w:numPr>
        <w:shd w:val="clear" w:color="auto" w:fill="auto"/>
        <w:tabs>
          <w:tab w:pos="77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фотопроводниковые блоки формирования изображения и блоки переноса (барабаны, ленты) для лазерных и светодиодных принтеров и многофункциональных печатающих устройств;</w:t>
      </w:r>
    </w:p>
    <w:p>
      <w:pPr>
        <w:pStyle w:val="Style13"/>
        <w:keepNext w:val="0"/>
        <w:keepLines w:val="0"/>
        <w:widowControl w:val="0"/>
        <w:numPr>
          <w:ilvl w:val="0"/>
          <w:numId w:val="3"/>
        </w:numPr>
        <w:shd w:val="clear" w:color="auto" w:fill="auto"/>
        <w:tabs>
          <w:tab w:pos="7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картриджи однокомпонентные (в одном корпусе совмещен блок фотобарабана и тонерный отсек);</w:t>
      </w:r>
    </w:p>
    <w:p>
      <w:pPr>
        <w:pStyle w:val="Style13"/>
        <w:keepNext w:val="0"/>
        <w:keepLines w:val="0"/>
        <w:widowControl w:val="0"/>
        <w:numPr>
          <w:ilvl w:val="0"/>
          <w:numId w:val="3"/>
        </w:numPr>
        <w:shd w:val="clear" w:color="auto" w:fill="auto"/>
        <w:tabs>
          <w:tab w:pos="7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емкости с магнитным носителем порошка (девелопер) для лазерных и светодиодных принтеров и многофункциональных печатающих устройств;</w:t>
      </w:r>
    </w:p>
    <w:p>
      <w:pPr>
        <w:pStyle w:val="Style13"/>
        <w:keepNext w:val="0"/>
        <w:keepLines w:val="0"/>
        <w:widowControl w:val="0"/>
        <w:numPr>
          <w:ilvl w:val="0"/>
          <w:numId w:val="3"/>
        </w:numPr>
        <w:shd w:val="clear" w:color="auto" w:fill="auto"/>
        <w:tabs>
          <w:tab w:pos="782" w:val="left"/>
        </w:tabs>
        <w:bidi w:val="0"/>
        <w:spacing w:before="0" w:after="0" w:line="240" w:lineRule="auto"/>
        <w:ind w:left="0" w:right="0" w:firstLine="580"/>
        <w:jc w:val="both"/>
        <w:sectPr>
          <w:footnotePr>
            <w:pos w:val="pageBottom"/>
            <w:numFmt w:val="decimal"/>
            <w:numRestart w:val="continuous"/>
          </w:footnotePr>
          <w:type w:val="continuous"/>
          <w:pgSz w:w="11900" w:h="16840"/>
          <w:pgMar w:top="544" w:right="536" w:bottom="1253" w:left="1102"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емкости с чернилами для струйных, каплеструйных и твердочернильных принтеров 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многофункциональных печатающих устройств, красящие ленты для матричных и литерных принтеров;</w:t>
      </w:r>
    </w:p>
    <w:p>
      <w:pPr>
        <w:pStyle w:val="Style13"/>
        <w:keepNext w:val="0"/>
        <w:keepLines w:val="0"/>
        <w:widowControl w:val="0"/>
        <w:numPr>
          <w:ilvl w:val="0"/>
          <w:numId w:val="3"/>
        </w:numPr>
        <w:shd w:val="clear" w:color="auto" w:fill="auto"/>
        <w:tabs>
          <w:tab w:pos="77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картриджи для струйных и каплеструйных принтеров и многофункциональных печатающих устройств;</w:t>
      </w:r>
    </w:p>
    <w:p>
      <w:pPr>
        <w:pStyle w:val="Style13"/>
        <w:keepNext w:val="0"/>
        <w:keepLines w:val="0"/>
        <w:widowControl w:val="0"/>
        <w:numPr>
          <w:ilvl w:val="0"/>
          <w:numId w:val="3"/>
        </w:numPr>
        <w:shd w:val="clear" w:color="auto" w:fill="auto"/>
        <w:tabs>
          <w:tab w:pos="77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средства очистки системы печати для струйных, каплеструйных и твердочернильных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pPr>
        <w:pStyle w:val="Style13"/>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картриджи и прочие расходные материалы для сублимационных принтеров».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описанию объекта закупки, заказчиком закупаются картриджи для принтеров РапШт ВР5100^^, РапШт ВМ5100А^^. Комиссией на основании письменных пояснений заказчика установлено, что принтеры, находящееся на балансе у заказчика, являются лазерными.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то же время указанное выше описание кода ОКПД2 26.20.40.120 не содержит описания картриджа для лазерных принтеров.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этим Комиссия приходит к выводу о том, что заказчик установил код ОКПД2 20.59.12.120 «Составы химические, используемые в фотографии, не включенные в другие группировки» правомерно. Данная позиция соотносится с правовым подходом, изложенным в решении ФАС России от 03.10.2024 по делу № 28/06/105-2236/2024.</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Проведя анализ перечня радиоэлектронной продукции, установленного Постановлением № 878, Комиссия установила, что код ОКПД2 20.59.12.120 «Составы химические, используемые в фотографии, не включенные в другие группировки» не включен в данный перечень.</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этим, Комиссия приходит к выводу о том, что заказчик, не установив ограничение допуска в соответствии с Постановлением № 878, действовал правомерно.</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Комиссия установила, что довод подателя жалобы о неправомерном установлении кода ОКПД2 и неустановления ограничения допуска согласно Постановлению № 878 является необоснованным.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Относительно довода об установлении требования о поставке оригинальной продукции Комиссия сообщает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подпункту «в» пункта 1 части 1 статьи 33 Закона о контрактной системе, заказчик имеет право указать в описании объекта закупки требование о наличии товарного знака в случае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336" w:lineRule="auto"/>
        <w:ind w:left="0" w:right="0" w:firstLine="580"/>
        <w:jc w:val="both"/>
        <w:sectPr>
          <w:footerReference w:type="default" r:id="rId13"/>
          <w:footnotePr>
            <w:pos w:val="pageBottom"/>
            <w:numFmt w:val="decimal"/>
            <w:numRestart w:val="continuous"/>
          </w:footnotePr>
          <w:pgSz w:w="11900" w:h="16840"/>
          <w:pgMar w:top="1119" w:right="546" w:bottom="525" w:left="1106" w:header="691" w:footer="97" w:gutter="0"/>
          <w:cols w:space="720"/>
          <w:noEndnote/>
          <w:rtlGutter w:val="0"/>
          <w:docGrid w:linePitch="360"/>
        </w:sectPr>
      </w:pPr>
      <w:r>
        <w:rPr>
          <w:color w:val="000000"/>
          <w:spacing w:val="0"/>
          <w:w w:val="100"/>
          <w:position w:val="0"/>
          <w:sz w:val="24"/>
          <w:szCs w:val="24"/>
          <w:shd w:val="clear" w:color="auto" w:fill="auto"/>
          <w:lang w:val="ru-RU" w:eastAsia="ru-RU" w:bidi="ru-RU"/>
        </w:rPr>
        <w:t>Проведя анализ материалов, размещенных в ЕИС, Комиссия установила, что в структурированной форме извещения указана характеристика «Оригинальный, должен быть 2024-18909</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изготовлен под товарным знаком оборудования, для которого предназначен данный картридж» со значением характеристики «Значение характеристики не может изменяться участником закупки» . Согласно пояснениям заказчика, указание в наименовании товара название «РапШт» является указанием на товарный знак производителя.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Также Комиссия установила, что в отношении позиции 1 описания объекта закупки установлено требование о наличии товарного знака в соответствии с подпунктом «в» пункта 1 части 1 статьи 33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Как следует из пояснений заказчика, применение к данной позиции объекта закупки требования о наличии товарного знака обусловлено необходимостью бесперебойной работы краевого учреждения здравоохранения. В случае поставки неоригинальных картриджей имеется риск повреждения оборудования при использовании данных картриджей. Данный довод не был опровергнут подателем жалобы. Доказательств обратного Комиссии представлено не было.</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Также, в материалы проверки заказчиком была представлена техническая документация в виде инструкции в отношении МФУ РапШт ВР5100, РапШт ВМ5100, находящиеся на балансе заказчика, и к которым закупаются картриджи в рамках данной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материалы, размещенные в ЕИС, а также содержание технической, документации Комиссия установила, что заказчиком закупаются картриджи для принтеров и МФУ, которые являются расходными материалами. В связи с этим, при закупке картриджей допустимо применение положений подпункта «в» пункта 1 части 1 статьи 33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Проведя анализ представленной технической документации, Комиссия установила, что закупка оригинальных картриджей связана с тем, что указанные МФУ находятся на гарантийном обслуживании.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руководству пользователя МФУ РапШт ВМ5100 8епез, гарантийный обслуживание данного оборудования не распространяется на случаи возникновения неисправностей, вызванных использованием неоригинальных расходных материалов.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Как следует из гарантийного талона по Контракту № 01192000001240096940001 от 05.07.2024, данные МФУ имеют гарантию 12 месяцев с даты поставки товара. Товар, согласно сведениям из реестра контрактов ЕИС был поставлен в августе 2024 года, соответственно, гарантийный срок на момент рассмотрения жалобы не истек.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этим, Комиссия приходит к выводу, что заказчик имел право установить требование к поставке оригинального товара. Данный вывод соотносится с практикой, в частности с Решением ФАС России от 03.10.2024 по делу № 28/06/105-2236/2024.</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вышеперечисленным, довод подателя жалобы о неправомерности установления требования об оригинальности является необоснованным.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Также Комиссия принимает во внимание обстоятельство того, что в рамках закупочной процедуры было подано 10 заявок на участие. Из них 10 заявок были признаны соответствующими требованиям извещения, что свидетельствует о наличии возможности поставить необходимый заказчику товар.</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«Матрица» необоснованной.</w:t>
      </w:r>
    </w:p>
    <w:p>
      <w:pPr>
        <w:pStyle w:val="Style13"/>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70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700"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Е.М. Хоменко</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Грузиненко</w:t>
      </w:r>
    </w:p>
    <w:p>
      <w:pPr>
        <w:pStyle w:val="Style13"/>
        <w:keepNext w:val="0"/>
        <w:keepLines w:val="0"/>
        <w:widowControl w:val="0"/>
        <w:shd w:val="clear" w:color="auto" w:fill="auto"/>
        <w:bidi w:val="0"/>
        <w:spacing w:before="0" w:after="380" w:line="262" w:lineRule="auto"/>
        <w:ind w:left="0" w:right="0" w:firstLine="0"/>
        <w:jc w:val="both"/>
        <w:rPr>
          <w:sz w:val="22"/>
          <w:szCs w:val="22"/>
        </w:rPr>
      </w:pPr>
      <w:r>
        <w:rPr>
          <w:color w:val="000000"/>
          <w:spacing w:val="0"/>
          <w:w w:val="100"/>
          <w:position w:val="0"/>
          <w:sz w:val="22"/>
          <w:szCs w:val="22"/>
          <w:shd w:val="clear" w:color="auto" w:fill="auto"/>
          <w:lang w:val="ru-RU" w:eastAsia="ru-RU" w:bidi="ru-RU"/>
        </w:rPr>
        <w:t>Исп.Грузиненко А.А., тел.211-01-44</w:t>
      </w:r>
    </w:p>
    <w:sectPr>
      <w:footerReference w:type="default" r:id="rId14"/>
      <w:footnotePr>
        <w:pos w:val="pageBottom"/>
        <w:numFmt w:val="decimal"/>
        <w:numRestart w:val="continuous"/>
      </w:footnotePr>
      <w:pgSz w:w="11900" w:h="16840"/>
      <w:pgMar w:top="1119" w:right="536" w:bottom="1119" w:left="1106" w:header="691"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10016490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2024-18909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88.7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2024-18909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2024-18909</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2024-18909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2024-18909</w:t>
                          </w:r>
                        </w:p>
                      </w:txbxContent>
                    </wps:txbx>
                    <wps:bodyPr wrap="none" lIns="0" tIns="0" rIns="0" bIns="0">
                      <a:spAutoFit/>
                    </wps:bodyPr>
                  </wps:wsp>
                </a:graphicData>
              </a:graphic>
            </wp:anchor>
          </w:drawing>
        </mc:Choice>
        <mc:Fallback>
          <w:pict>
            <v:shape id="_x0000_s1035" type="#_x0000_t202" style="position:absolute;margin-left:57.pt;margin-top:788.70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2024-18909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footer" Target="footer3.xml"/><Relationship Id="rId14" Type="http://schemas.openxmlformats.org/officeDocument/2006/relationships/footer" Target="footer4.xml"/></Relationships>
</file>