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88900" distL="114300" distR="1040765" simplePos="0" relativeHeight="125829378" behindDoc="0" locked="0" layoutInCell="1" allowOverlap="1">
                <wp:simplePos x="0" y="0"/>
                <wp:positionH relativeFrom="page">
                  <wp:posOffset>601345</wp:posOffset>
                </wp:positionH>
                <wp:positionV relativeFrom="paragraph">
                  <wp:posOffset>12700</wp:posOffset>
                </wp:positionV>
                <wp:extent cx="2575560" cy="1240790"/>
                <wp:wrapTopAndBottom/>
                <wp:docPr id="1" name="Shape 1"/>
                <a:graphic xmlns:a="http://schemas.openxmlformats.org/drawingml/2006/main">
                  <a:graphicData uri="http://schemas.microsoft.com/office/word/2010/wordprocessingShape">
                    <wps:wsp>
                      <wps:cNvSpPr txBox="1"/>
                      <wps:spPr>
                        <a:xfrm>
                          <a:ext cx="2575560" cy="1240790"/>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7.350000000000001pt;margin-top:1.pt;width:202.80000000000001pt;height:97.700000000000003pt;z-index:-125829375;mso-wrap-distance-left:9.pt;mso-wrap-distance-right:81.950000000000003pt;mso-wrap-distance-bottom:7.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v:textbox>
                <w10:wrap type="topAndBottom" anchorx="page"/>
              </v:shape>
            </w:pict>
          </mc:Fallback>
        </mc:AlternateContent>
      </w:r>
      <w:r>
        <w:drawing>
          <wp:anchor distT="128270" distB="546100" distL="3043555" distR="114300" simplePos="0" relativeHeight="125829380" behindDoc="0" locked="0" layoutInCell="1" allowOverlap="1">
            <wp:simplePos x="0" y="0"/>
            <wp:positionH relativeFrom="page">
              <wp:posOffset>3530600</wp:posOffset>
            </wp:positionH>
            <wp:positionV relativeFrom="paragraph">
              <wp:posOffset>140970</wp:posOffset>
            </wp:positionV>
            <wp:extent cx="572770" cy="65849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72770" cy="658495"/>
                    </a:xfrm>
                    <a:prstGeom prst="rect"/>
                  </pic:spPr>
                </pic:pic>
              </a:graphicData>
            </a:graphic>
          </wp:anchor>
        </w:drawing>
      </w:r>
    </w:p>
    <w:p>
      <w:pPr>
        <w:pStyle w:val="Style4"/>
        <w:keepNext w:val="0"/>
        <w:keepLines w:val="0"/>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r>
    </w:p>
    <w:p>
      <w:pPr>
        <w:pStyle w:val="Style4"/>
        <w:keepNext w:val="0"/>
        <w:keepLines w:val="0"/>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е-таП: ю16@Га8.§оу.ги</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карты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0" w:line="283"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961" w:right="1445" w:bottom="1241" w:left="1513" w:header="0" w:footer="3" w:gutter="0"/>
          <w:pgNumType w:start="1"/>
          <w:cols w:num="2" w:space="2530"/>
          <w:noEndnote/>
          <w:titlePg/>
          <w:rtlGutter w:val="0"/>
          <w:docGrid w:linePitch="360"/>
        </w:sectPr>
      </w:pPr>
      <w:r>
        <w:rPr>
          <w:spacing w:val="0"/>
          <w:w w:val="100"/>
          <w:position w:val="0"/>
          <w:shd w:val="clear" w:color="auto" w:fill="auto"/>
          <w:lang w:val="ru-RU" w:eastAsia="ru-RU" w:bidi="ru-RU"/>
        </w:rPr>
        <w:t xml:space="preserve">Москоу ур., </w:t>
      </w:r>
      <w:r>
        <w:rPr>
          <w:color w:val="2D4970"/>
          <w:spacing w:val="0"/>
          <w:w w:val="100"/>
          <w:position w:val="0"/>
          <w:shd w:val="clear" w:color="auto" w:fill="auto"/>
          <w:lang w:val="ru-RU" w:eastAsia="ru-RU" w:bidi="ru-RU"/>
        </w:rPr>
        <w:t xml:space="preserve">55 </w:t>
      </w:r>
      <w:r>
        <w:rPr>
          <w:spacing w:val="0"/>
          <w:w w:val="100"/>
          <w:position w:val="0"/>
          <w:shd w:val="clear" w:color="auto" w:fill="auto"/>
          <w:lang w:val="ru-RU" w:eastAsia="ru-RU" w:bidi="ru-RU"/>
        </w:rPr>
        <w:t>Йорг, Казан шэйэре, 420021</w:t>
        <w:br/>
        <w:t>тел.: (843) 236-89-22. факс (843) 238-19-46</w:t>
        <w:br/>
        <w:t>е-таП: Ю16@Га5.§оу.ги</w:t>
      </w:r>
    </w:p>
    <w:p>
      <w:pPr>
        <w:widowControl w:val="0"/>
        <w:spacing w:line="240" w:lineRule="exact"/>
        <w:rPr>
          <w:sz w:val="19"/>
          <w:szCs w:val="19"/>
        </w:rPr>
      </w:pPr>
    </w:p>
    <w:p>
      <w:pPr>
        <w:widowControl w:val="0"/>
        <w:spacing w:line="240" w:lineRule="exact"/>
        <w:rPr>
          <w:sz w:val="19"/>
          <w:szCs w:val="19"/>
        </w:rPr>
      </w:pPr>
    </w:p>
    <w:p>
      <w:pPr>
        <w:widowControl w:val="0"/>
        <w:spacing w:before="37" w:after="3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72" w:right="0" w:bottom="1330" w:left="0" w:header="0" w:footer="3" w:gutter="0"/>
          <w:cols w:space="720"/>
          <w:noEndnote/>
          <w:rtlGutter w:val="0"/>
          <w:docGrid w:linePitch="360"/>
        </w:sectPr>
      </w:pPr>
    </w:p>
    <w:p>
      <w:pPr>
        <w:pStyle w:val="Style2"/>
        <w:keepNext w:val="0"/>
        <w:keepLines w:val="0"/>
        <w:widowControl w:val="0"/>
        <w:shd w:val="clear" w:color="auto" w:fill="auto"/>
        <w:bidi w:val="0"/>
        <w:spacing w:before="0" w:after="440" w:line="240" w:lineRule="auto"/>
        <w:ind w:left="0" w:right="0" w:firstLine="0"/>
        <w:jc w:val="left"/>
        <w:rPr>
          <w:sz w:val="22"/>
          <w:szCs w:val="22"/>
        </w:rPr>
      </w:pPr>
      <w:r>
        <w:rPr>
          <w:b w:val="0"/>
          <w:bCs w:val="0"/>
          <w:spacing w:val="0"/>
          <w:w w:val="100"/>
          <w:position w:val="0"/>
          <w:sz w:val="22"/>
          <w:szCs w:val="22"/>
          <w:shd w:val="clear" w:color="auto" w:fill="auto"/>
          <w:lang w:val="ru-RU" w:eastAsia="ru-RU" w:bidi="ru-RU"/>
        </w:rPr>
        <w:t xml:space="preserve">На </w:t>
      </w:r>
      <w:r>
        <w:rPr>
          <w:b w:val="0"/>
          <w:bCs w:val="0"/>
          <w:color w:val="4E6790"/>
          <w:spacing w:val="0"/>
          <w:w w:val="100"/>
          <w:position w:val="0"/>
          <w:sz w:val="22"/>
          <w:szCs w:val="22"/>
          <w:shd w:val="clear" w:color="auto" w:fill="auto"/>
          <w:lang w:val="ru-RU" w:eastAsia="ru-RU" w:bidi="ru-RU"/>
        </w:rPr>
        <w:t>№</w:t>
      </w:r>
      <w:r>
        <w:rPr>
          <w:b w:val="0"/>
          <w:bCs w:val="0"/>
          <w:spacing w:val="0"/>
          <w:w w:val="100"/>
          <w:position w:val="0"/>
          <w:sz w:val="22"/>
          <w:szCs w:val="22"/>
          <w:shd w:val="clear" w:color="auto" w:fill="auto"/>
          <w:lang w:val="ru-RU" w:eastAsia="ru-RU" w:bidi="ru-RU"/>
        </w:rPr>
        <w:t>от</w:t>
      </w:r>
    </w:p>
    <w:p>
      <w:pPr>
        <w:pStyle w:val="Style7"/>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Заказчику:</w:t>
      </w:r>
    </w:p>
    <w:p>
      <w:pPr>
        <w:pStyle w:val="Style7"/>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ГОСУДАРСТВЕННОЕ БЮДЖЕТНОЕ УЧРЕЖДЕНИЕ ДОПОЛНИТЕЛЬНОГО ОБРАЗОВАНИЯ</w:t>
      </w:r>
    </w:p>
    <w:p>
      <w:pPr>
        <w:pStyle w:val="Style7"/>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"РЕСПУБЛИКАНСКИЙ ЦЕНТР</w:t>
      </w:r>
    </w:p>
    <w:p>
      <w:pPr>
        <w:pStyle w:val="Style7"/>
        <w:keepNext w:val="0"/>
        <w:keepLines w:val="0"/>
        <w:widowControl w:val="0"/>
        <w:shd w:val="clear" w:color="auto" w:fill="auto"/>
        <w:bidi w:val="0"/>
        <w:spacing w:before="0" w:after="320" w:line="240" w:lineRule="auto"/>
        <w:ind w:left="5240" w:right="0" w:firstLine="0"/>
        <w:jc w:val="left"/>
      </w:pPr>
      <w:r>
        <w:rPr>
          <w:color w:val="000000"/>
          <w:spacing w:val="0"/>
          <w:w w:val="100"/>
          <w:position w:val="0"/>
          <w:shd w:val="clear" w:color="auto" w:fill="auto"/>
          <w:lang w:val="ru-RU" w:eastAsia="ru-RU" w:bidi="ru-RU"/>
        </w:rPr>
        <w:t>ВНЕШКОЛЬНОЙ РАБОТЫ"</w:t>
      </w:r>
    </w:p>
    <w:p>
      <w:pPr>
        <w:pStyle w:val="Style7"/>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Заявителю:</w:t>
      </w:r>
    </w:p>
    <w:p>
      <w:pPr>
        <w:pStyle w:val="Style7"/>
        <w:keepNext w:val="0"/>
        <w:keepLines w:val="0"/>
        <w:widowControl w:val="0"/>
        <w:shd w:val="clear" w:color="auto" w:fill="auto"/>
        <w:bidi w:val="0"/>
        <w:spacing w:before="0" w:after="320" w:line="240" w:lineRule="auto"/>
        <w:ind w:left="5240" w:right="0" w:firstLine="0"/>
        <w:jc w:val="left"/>
      </w:pPr>
      <w:r>
        <w:rPr>
          <w:color w:val="000000"/>
          <w:spacing w:val="0"/>
          <w:w w:val="100"/>
          <w:position w:val="0"/>
          <w:shd w:val="clear" w:color="auto" w:fill="auto"/>
          <w:lang w:val="ru-RU" w:eastAsia="ru-RU" w:bidi="ru-RU"/>
        </w:rPr>
        <w:t xml:space="preserve">ОБЩЕСТВО С ОГРАНИЧЕННОЙ ОТВЕТСТВЕННОСТЬЮ "АРТЕЛЬ" </w:t>
      </w:r>
      <w:r>
        <w:rPr>
          <w:color w:val="000000"/>
          <w:spacing w:val="0"/>
          <w:w w:val="100"/>
          <w:position w:val="0"/>
          <w:u w:val="single"/>
          <w:shd w:val="clear" w:color="auto" w:fill="auto"/>
          <w:lang w:val="ru-RU" w:eastAsia="ru-RU" w:bidi="ru-RU"/>
        </w:rPr>
        <w:t>ат1е11977@Ьк.ги</w:t>
      </w:r>
    </w:p>
    <w:p>
      <w:pPr>
        <w:pStyle w:val="Style7"/>
        <w:keepNext w:val="0"/>
        <w:keepLines w:val="0"/>
        <w:widowControl w:val="0"/>
        <w:shd w:val="clear" w:color="auto" w:fill="auto"/>
        <w:bidi w:val="0"/>
        <w:spacing w:before="0" w:after="620" w:line="240" w:lineRule="auto"/>
        <w:ind w:left="0" w:right="0" w:firstLine="0"/>
        <w:jc w:val="center"/>
      </w:pPr>
      <w:r>
        <w:rPr>
          <w:b/>
          <w:bCs/>
          <w:color w:val="000000"/>
          <w:spacing w:val="0"/>
          <w:w w:val="100"/>
          <w:position w:val="0"/>
          <w:shd w:val="clear" w:color="auto" w:fill="auto"/>
          <w:lang w:val="ru-RU" w:eastAsia="ru-RU" w:bidi="ru-RU"/>
        </w:rPr>
        <w:t>Решение по делу №016/06/14-1493/2024</w:t>
        <w:br/>
        <w:t>о нарушении законодательства в сфере закупок товаров, работ, услуг</w:t>
        <w:br/>
        <w:t>для обеспечения государственных и муниципальных нужд</w:t>
      </w:r>
    </w:p>
    <w:p>
      <w:pPr>
        <w:pStyle w:val="Style7"/>
        <w:keepNext w:val="0"/>
        <w:keepLines w:val="0"/>
        <w:widowControl w:val="0"/>
        <w:shd w:val="clear" w:color="auto" w:fill="auto"/>
        <w:bidi w:val="0"/>
        <w:spacing w:before="0" w:after="1280" w:line="240" w:lineRule="auto"/>
        <w:ind w:left="0" w:right="0" w:firstLine="0"/>
        <w:jc w:val="left"/>
      </w:pPr>
      <w:r>
        <mc:AlternateContent>
          <mc:Choice Requires="wps">
            <w:drawing>
              <wp:anchor distT="0" distB="0" distL="0" distR="0" simplePos="0" relativeHeight="125829381" behindDoc="0" locked="0" layoutInCell="1" allowOverlap="1">
                <wp:simplePos x="0" y="0"/>
                <wp:positionH relativeFrom="page">
                  <wp:posOffset>6181725</wp:posOffset>
                </wp:positionH>
                <wp:positionV relativeFrom="paragraph">
                  <wp:posOffset>12700</wp:posOffset>
                </wp:positionV>
                <wp:extent cx="716280" cy="216535"/>
                <wp:wrapSquare wrapText="left"/>
                <wp:docPr id="9" name="Shape 9"/>
                <a:graphic xmlns:a="http://schemas.openxmlformats.org/drawingml/2006/main">
                  <a:graphicData uri="http://schemas.microsoft.com/office/word/2010/wordprocessingShape">
                    <wps:wsp>
                      <wps:cNvSpPr txBox="1"/>
                      <wps:spPr>
                        <a:xfrm>
                          <a:ext cx="716280" cy="21653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wps:txbx>
                      <wps:bodyPr wrap="none" lIns="0" tIns="0" rIns="0" bIns="0">
                        <a:noAutoFit/>
                      </wps:bodyPr>
                    </wps:wsp>
                  </a:graphicData>
                </a:graphic>
              </wp:anchor>
            </w:drawing>
          </mc:Choice>
          <mc:Fallback>
            <w:pict>
              <v:shape id="_x0000_s1035" type="#_x0000_t202" style="position:absolute;margin-left:486.75pt;margin-top:1.pt;width:56.399999999999999pt;height:17.050000000000001pt;z-index:-125829372;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Казань</w:t>
                      </w:r>
                    </w:p>
                  </w:txbxContent>
                </v:textbox>
                <w10:wrap type="square" side="left" anchorx="page"/>
              </v:shape>
            </w:pict>
          </mc:Fallback>
        </mc:AlternateContent>
      </w:r>
      <w:r>
        <w:rPr>
          <w:color w:val="000000"/>
          <w:spacing w:val="0"/>
          <w:w w:val="100"/>
          <w:position w:val="0"/>
          <w:shd w:val="clear" w:color="auto" w:fill="auto"/>
          <w:lang w:val="ru-RU" w:eastAsia="ru-RU" w:bidi="ru-RU"/>
        </w:rPr>
        <w:t>31 октября 2024 года</w:t>
      </w:r>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tabs>
          <w:tab w:pos="6050" w:val="left"/>
        </w:tabs>
        <w:bidi w:val="0"/>
        <w:spacing w:before="0" w:after="0" w:line="240" w:lineRule="auto"/>
        <w:ind w:left="0" w:right="0" w:firstLine="820"/>
        <w:jc w:val="left"/>
      </w:pPr>
      <w:r>
        <w:rPr>
          <w:color w:val="000000"/>
          <w:spacing w:val="0"/>
          <w:w w:val="100"/>
          <w:position w:val="0"/>
          <w:shd w:val="clear" w:color="auto" w:fill="auto"/>
          <w:lang w:val="ru-RU" w:eastAsia="ru-RU" w:bidi="ru-RU"/>
        </w:rPr>
        <w:t>Зам.Председателя Комиссии:</w:t>
        <w:tab/>
        <w:t>Кучеевой А.С. - начальника</w:t>
      </w:r>
    </w:p>
    <w:p>
      <w:pPr>
        <w:pStyle w:val="Style7"/>
        <w:keepNext w:val="0"/>
        <w:keepLines w:val="0"/>
        <w:widowControl w:val="0"/>
        <w:shd w:val="clear" w:color="auto" w:fill="auto"/>
        <w:bidi w:val="0"/>
        <w:spacing w:before="0" w:after="0" w:line="240" w:lineRule="auto"/>
        <w:ind w:left="6040" w:right="0" w:firstLine="0"/>
        <w:jc w:val="left"/>
      </w:pPr>
      <w:r>
        <w:rPr>
          <w:color w:val="000000"/>
          <w:spacing w:val="0"/>
          <w:w w:val="100"/>
          <w:position w:val="0"/>
          <w:shd w:val="clear" w:color="auto" w:fill="auto"/>
          <w:lang w:val="ru-RU" w:eastAsia="ru-RU" w:bidi="ru-RU"/>
        </w:rPr>
        <w:t>отдела,</w:t>
      </w:r>
    </w:p>
    <w:p>
      <w:pPr>
        <w:pStyle w:val="Style7"/>
        <w:keepNext w:val="0"/>
        <w:keepLines w:val="0"/>
        <w:widowControl w:val="0"/>
        <w:shd w:val="clear" w:color="auto" w:fill="auto"/>
        <w:tabs>
          <w:tab w:pos="6050" w:val="left"/>
        </w:tabs>
        <w:bidi w:val="0"/>
        <w:spacing w:before="0" w:after="0" w:line="240" w:lineRule="auto"/>
        <w:ind w:left="0" w:right="0" w:firstLine="820"/>
        <w:jc w:val="left"/>
      </w:pPr>
      <w:r>
        <w:rPr>
          <w:color w:val="000000"/>
          <w:spacing w:val="0"/>
          <w:w w:val="100"/>
          <w:position w:val="0"/>
          <w:shd w:val="clear" w:color="auto" w:fill="auto"/>
          <w:lang w:val="ru-RU" w:eastAsia="ru-RU" w:bidi="ru-RU"/>
        </w:rPr>
        <w:t>Членов Комиссии:</w:t>
        <w:tab/>
        <w:t>Курмаевой Г.Р. - старшего</w:t>
      </w:r>
    </w:p>
    <w:p>
      <w:pPr>
        <w:pStyle w:val="Style7"/>
        <w:keepNext w:val="0"/>
        <w:keepLines w:val="0"/>
        <w:widowControl w:val="0"/>
        <w:shd w:val="clear" w:color="auto" w:fill="auto"/>
        <w:bidi w:val="0"/>
        <w:spacing w:before="0" w:after="320" w:line="240" w:lineRule="auto"/>
        <w:ind w:left="6040" w:right="0" w:firstLine="20"/>
        <w:jc w:val="left"/>
      </w:pPr>
      <w:r>
        <w:rPr>
          <w:color w:val="000000"/>
          <w:spacing w:val="0"/>
          <w:w w:val="100"/>
          <w:position w:val="0"/>
          <w:shd w:val="clear" w:color="auto" w:fill="auto"/>
          <w:lang w:val="ru-RU" w:eastAsia="ru-RU" w:bidi="ru-RU"/>
        </w:rPr>
        <w:t>государственного инспектора, Никитиной И.Г. - специалиста 1 разряда,</w:t>
      </w:r>
    </w:p>
    <w:p>
      <w:pPr>
        <w:pStyle w:val="Style7"/>
        <w:keepNext w:val="0"/>
        <w:keepLines w:val="0"/>
        <w:widowControl w:val="0"/>
        <w:shd w:val="clear" w:color="auto" w:fill="auto"/>
        <w:tabs>
          <w:tab w:pos="504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представителя заказчика ГОСУДАРСТВЕННОЕ БЮДЖЕТНОЕ УЧРЕЖДЕНИЕ ДОПОЛНИТЕЛЬНОГО ОБРАЗОВАНИЯ "РЕСПУБЛИКАНСКИЙ ЦЕНТР ВНЕШКОЛЬНОЙ РАБОТЫ" - Носова Д.Ф. (по доверенности), в отсутствии представителя заявителя, надлежащим образом уведомленного, рассмотрев по видеоконференции жалобу ООО АРТЕЛЬ" (вх. №11522/ж от 28Л0.2024г.) (в ЕИС 27.10.2024) на действия заказчика при проведении закупки по извещению №</w:t>
        <w:tab/>
        <w:t>0711200022224000002 на предмет:</w:t>
      </w:r>
    </w:p>
    <w:p>
      <w:pPr>
        <w:pStyle w:val="Style7"/>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Поставка роботов-тренажеров для обучения навыкам СЛР (сердечно-легочной реанимации) для оснащения Домов «ЮНАРМИИ», юнармейских отрядов Республики Татарстан,</w:t>
      </w:r>
    </w:p>
    <w:p>
      <w:pPr>
        <w:pStyle w:val="Style7"/>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 проведении электронного аукциона в электронной форме № 0711200022224000002 размещено на официальном сайте Российской Федерации для размещения информации о размещении заказов \умчу.хакирк1.§оу.ги 18.10.2024 г.</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- 954 893,31 руб.</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Суть жалобы, по мнению заявителя, заказчиком при проведении закупки нарушены требования действующего законодательства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на действия заказчика и позиции заказчика, изучения документации электронного аукциона приходит к следующим выводам.</w:t>
      </w:r>
    </w:p>
    <w:p>
      <w:pPr>
        <w:pStyle w:val="Style7"/>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Относительно довода заявителя о неприменении положений Постановления Правительства РФ от 30.04.2020 И 617.</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7"/>
        <w:keepNext w:val="0"/>
        <w:keepLines w:val="0"/>
        <w:widowControl w:val="0"/>
        <w:shd w:val="clear" w:color="auto" w:fill="auto"/>
        <w:bidi w:val="0"/>
        <w:spacing w:before="0" w:after="320" w:line="240" w:lineRule="auto"/>
        <w:ind w:left="0" w:right="0" w:firstLine="860"/>
        <w:jc w:val="both"/>
        <w:sectPr>
          <w:footnotePr>
            <w:pos w:val="pageBottom"/>
            <w:numFmt w:val="decimal"/>
            <w:numRestart w:val="continuous"/>
          </w:footnotePr>
          <w:type w:val="continuous"/>
          <w:pgSz w:w="11900" w:h="16840"/>
          <w:pgMar w:top="1072" w:right="773" w:bottom="1330" w:left="951" w:header="0" w:footer="3" w:gutter="0"/>
          <w:cols w:space="720"/>
          <w:noEndnote/>
          <w:rtlGutter w:val="0"/>
          <w:docGrid w:linePitch="360"/>
        </w:sectPr>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Так, Постановлением Правительства РФ от 08.02.2017г.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Согласно пункту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И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Пунктом 15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w:t>
      </w:r>
      <w:r>
        <w:rPr>
          <w:color w:val="000000"/>
          <w:spacing w:val="0"/>
          <w:w w:val="100"/>
          <w:position w:val="0"/>
          <w:shd w:val="clear" w:color="auto" w:fill="auto"/>
          <w:lang w:val="ru-RU" w:eastAsia="ru-RU" w:bidi="ru-RU"/>
        </w:rPr>
        <w:t>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Постановлением Правительства РФ от 30.04.2020 И 617 (ред. от 28.12.2023)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 4 Постановления 617 установлено, ограничения, установленные настоящим постановлением, распространяются на товары, включенные в перечень, в том числе поставляемые заказчику при выполнении закупаемых работ, оказании закупаемых услуг.</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изучив материалы дела, устные и письменные пояснения заказчика, пришла к следующему.</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Извещению №0711200022224000002, размещенного на официальном сайте ЕИС, заказчиком использован код КТРУ - 32.50.50.190- 00001051 (Муляж учебный для отработки навыков проведения реанимации).</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Предметом закупки является Поставка роботов-тренажеров для обучения навыкам СЛР (сердечно-легочной реанимации) для оснащения Домов «ЮНАРМИИ», юнармейских отрядов Республики Татарстан.</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описанию объекта закупки (приложение №1 к извещению), комплектация муляжа учебного для отработки навыков проведения реанимации состоит из манекен; настенное электрифицированное табло с маркерным покрытием; электронный пульт контроля-управления со светодиодной индикацией; пенополиэтиленовый коврик; блок питания 12В; И8В-кабель; транспортировочная сумка; комплект одежды (водолазка, брюки, обувь); поясной ремень; аптечка; санитарные салфетки для проведения искусственной вентиляции легких (не менее 100 шт.); кабель с зажимами для подключения автономного источника питания 12- 14В (для эксплуатации в полевых условиях).</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Вместе с тем, следует отметить, что закупаемый товар не относится к медицинским изделиям, а закупается заказчиком в образовательных целях для обучения навыкам сердечно-легочной реанимации.</w:t>
      </w:r>
    </w:p>
    <w:p>
      <w:pPr>
        <w:pStyle w:val="Style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При этом, согласно описанию классификатора по коду КТРУ - 32.50.50.190- 00001051, муляж учебный для отработки навыков проведения реанимации - специально сконструированная кукла с имитацией функций органов дыхания и сердечно-сосудистой системы, предназначенная для демонстрации и обучения </w:t>
      </w:r>
      <w:r>
        <w:rPr>
          <w:color w:val="000000"/>
          <w:spacing w:val="0"/>
          <w:w w:val="100"/>
          <w:position w:val="0"/>
          <w:shd w:val="clear" w:color="auto" w:fill="auto"/>
          <w:lang w:val="ru-RU" w:eastAsia="ru-RU" w:bidi="ru-RU"/>
        </w:rPr>
        <w:t>техникам сердечно-легочной реанимации, включая приемы искусственного дыхания изо рта в рот, компрессионного массажа сердца (сердечно-легочной реанимации) и иногда нащупывания пульса. Это изделие широко известно как манекен.</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Вместе с тем, в КТРУ имеется следующая позиция товаров, наиболее соответствующая объекту закупки, установленному в извещении: 32.99.53.121 Тренажеры для профессионального медицинского обучения.</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Эта группировка в том числе включает:</w:t>
      </w:r>
    </w:p>
    <w:p>
      <w:pPr>
        <w:pStyle w:val="Style7"/>
        <w:keepNext w:val="0"/>
        <w:keepLines w:val="0"/>
        <w:widowControl w:val="0"/>
        <w:numPr>
          <w:ilvl w:val="0"/>
          <w:numId w:val="1"/>
        </w:numPr>
        <w:shd w:val="clear" w:color="auto" w:fill="auto"/>
        <w:tabs>
          <w:tab w:pos="1113" w:val="left"/>
        </w:tabs>
        <w:bidi w:val="0"/>
        <w:spacing w:before="0" w:after="0" w:line="240" w:lineRule="auto"/>
        <w:ind w:left="0" w:right="0" w:firstLine="880"/>
        <w:jc w:val="both"/>
      </w:pPr>
      <w:r>
        <w:rPr>
          <w:color w:val="000000"/>
          <w:spacing w:val="0"/>
          <w:w w:val="100"/>
          <w:position w:val="0"/>
          <w:shd w:val="clear" w:color="auto" w:fill="auto"/>
          <w:lang w:val="ru-RU" w:eastAsia="ru-RU" w:bidi="ru-RU"/>
        </w:rPr>
        <w:t>тренажеры аускультации взрослого пациента;</w:t>
      </w:r>
    </w:p>
    <w:p>
      <w:pPr>
        <w:pStyle w:val="Style7"/>
        <w:keepNext w:val="0"/>
        <w:keepLines w:val="0"/>
        <w:widowControl w:val="0"/>
        <w:numPr>
          <w:ilvl w:val="0"/>
          <w:numId w:val="1"/>
        </w:numPr>
        <w:shd w:val="clear" w:color="auto" w:fill="auto"/>
        <w:tabs>
          <w:tab w:pos="1113" w:val="left"/>
        </w:tabs>
        <w:bidi w:val="0"/>
        <w:spacing w:before="0" w:after="0" w:line="240" w:lineRule="auto"/>
        <w:ind w:left="0" w:right="0" w:firstLine="880"/>
        <w:jc w:val="both"/>
      </w:pPr>
      <w:r>
        <w:rPr>
          <w:color w:val="000000"/>
          <w:spacing w:val="0"/>
          <w:w w:val="100"/>
          <w:position w:val="0"/>
          <w:shd w:val="clear" w:color="auto" w:fill="auto"/>
          <w:lang w:val="ru-RU" w:eastAsia="ru-RU" w:bidi="ru-RU"/>
        </w:rPr>
        <w:t>тренажеры аускультации пациента-ребенка;</w:t>
      </w:r>
    </w:p>
    <w:p>
      <w:pPr>
        <w:pStyle w:val="Style7"/>
        <w:keepNext w:val="0"/>
        <w:keepLines w:val="0"/>
        <w:widowControl w:val="0"/>
        <w:numPr>
          <w:ilvl w:val="0"/>
          <w:numId w:val="1"/>
        </w:numPr>
        <w:shd w:val="clear" w:color="auto" w:fill="auto"/>
        <w:tabs>
          <w:tab w:pos="1113" w:val="left"/>
        </w:tabs>
        <w:bidi w:val="0"/>
        <w:spacing w:before="0" w:after="0" w:line="240" w:lineRule="auto"/>
        <w:ind w:left="0" w:right="0" w:firstLine="880"/>
        <w:jc w:val="both"/>
      </w:pPr>
      <w:r>
        <w:rPr>
          <w:color w:val="000000"/>
          <w:spacing w:val="0"/>
          <w:w w:val="100"/>
          <w:position w:val="0"/>
          <w:shd w:val="clear" w:color="auto" w:fill="auto"/>
          <w:lang w:val="ru-RU" w:eastAsia="ru-RU" w:bidi="ru-RU"/>
        </w:rPr>
        <w:t>симуляционные тренажерные комплексы санитарной авиации;</w:t>
      </w:r>
    </w:p>
    <w:p>
      <w:pPr>
        <w:pStyle w:val="Style7"/>
        <w:keepNext w:val="0"/>
        <w:keepLines w:val="0"/>
        <w:widowControl w:val="0"/>
        <w:numPr>
          <w:ilvl w:val="0"/>
          <w:numId w:val="1"/>
        </w:numPr>
        <w:shd w:val="clear" w:color="auto" w:fill="auto"/>
        <w:tabs>
          <w:tab w:pos="1118" w:val="left"/>
        </w:tabs>
        <w:bidi w:val="0"/>
        <w:spacing w:before="0" w:after="0" w:line="240" w:lineRule="auto"/>
        <w:ind w:left="0" w:right="0" w:firstLine="880"/>
        <w:jc w:val="both"/>
      </w:pPr>
      <w:r>
        <w:rPr>
          <w:color w:val="000000"/>
          <w:spacing w:val="0"/>
          <w:w w:val="100"/>
          <w:position w:val="0"/>
          <w:shd w:val="clear" w:color="auto" w:fill="auto"/>
          <w:lang w:val="ru-RU" w:eastAsia="ru-RU" w:bidi="ru-RU"/>
        </w:rPr>
        <w:t>симуляционные тренажерные комплексы машины скорой помощи;</w:t>
      </w:r>
    </w:p>
    <w:p>
      <w:pPr>
        <w:pStyle w:val="Style7"/>
        <w:keepNext w:val="0"/>
        <w:keepLines w:val="0"/>
        <w:widowControl w:val="0"/>
        <w:numPr>
          <w:ilvl w:val="0"/>
          <w:numId w:val="1"/>
        </w:numPr>
        <w:shd w:val="clear" w:color="auto" w:fill="auto"/>
        <w:tabs>
          <w:tab w:pos="1113" w:val="left"/>
        </w:tabs>
        <w:bidi w:val="0"/>
        <w:spacing w:before="0" w:after="0" w:line="240" w:lineRule="auto"/>
        <w:ind w:left="0" w:right="0" w:firstLine="880"/>
        <w:jc w:val="both"/>
      </w:pPr>
      <w:r>
        <w:rPr>
          <w:color w:val="000000"/>
          <w:spacing w:val="0"/>
          <w:w w:val="100"/>
          <w:position w:val="0"/>
          <w:u w:val="single"/>
          <w:shd w:val="clear" w:color="auto" w:fill="auto"/>
          <w:lang w:val="ru-RU" w:eastAsia="ru-RU" w:bidi="ru-RU"/>
        </w:rPr>
        <w:t>прочие тренажеры для профессионального медицинского обучения.</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Таким образом, установлено, что общероссийский классификатор продукции по видам экономической деятельности содержит соответствующей и наиболее подходящий код ОКПД2 (32.99.53.121), который заказчик должен был применить при осуществлении закупки.</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При этом, в нарушение требований ч. 6 ст. 23, п. 15 ч. 1, п. 1 ч. 2 ст. 42, ч. 1 ст. 33 Закона о контрактной системе, заказчиком неверно выбран код ОКПД2 в связи с чем неправомерно не установлены требований Постановления Правительства №617.</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Вместе с тем, код ОКПД2 - 32.99.53.121 Тренажеры для профессионального медицинского обучения, включен в печень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согласно Постановлению №617.</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Однако, извещение заказчика не содержит информации об ограничениях в соответствии с Постановлением Правительства РФ 617, что является нарушением требований ч. 3 ст. 14 Закона о контрактной системе, п. 4 Постановления Правительства РФ №617.</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Довод заявителя признан обоснованным.</w:t>
      </w:r>
    </w:p>
    <w:p>
      <w:pPr>
        <w:pStyle w:val="Style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На основании изложенного, Комиссия приходит к выводу о необходимости выдачи предписания об устранении нарушений.</w:t>
      </w:r>
    </w:p>
    <w:p>
      <w:pPr>
        <w:pStyle w:val="Style7"/>
        <w:keepNext w:val="0"/>
        <w:keepLines w:val="0"/>
        <w:widowControl w:val="0"/>
        <w:shd w:val="clear" w:color="auto" w:fill="auto"/>
        <w:bidi w:val="0"/>
        <w:spacing w:before="0" w:after="640" w:line="240" w:lineRule="auto"/>
        <w:ind w:left="0" w:right="0" w:firstLine="88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И 44-ФЗ «О контрактной системе в сфере закупок товаров, работ, услуг для обеспечения государственных и муниципальных нужд», Комиссия</w:t>
      </w:r>
    </w:p>
    <w:p>
      <w:pPr>
        <w:pStyle w:val="Style7"/>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7"/>
        <w:keepNext w:val="0"/>
        <w:keepLines w:val="0"/>
        <w:widowControl w:val="0"/>
        <w:numPr>
          <w:ilvl w:val="0"/>
          <w:numId w:val="3"/>
        </w:numPr>
        <w:shd w:val="clear" w:color="auto" w:fill="auto"/>
        <w:tabs>
          <w:tab w:pos="105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заявителя ООО АРТЕЛЬ" (вх. №П522/ж от 28.10.2024г.) (в ЕИС 27.10.2024) на действия заказчика при проведении закупки по извещению № 0711200022224000002 на предмет: Поставка роботов-тренажеров для обучения</w:t>
        <w:br w:type="page"/>
      </w:r>
      <w:r>
        <w:rPr>
          <w:color w:val="000000"/>
          <w:spacing w:val="0"/>
          <w:w w:val="100"/>
          <w:position w:val="0"/>
          <w:shd w:val="clear" w:color="auto" w:fill="auto"/>
          <w:lang w:val="ru-RU" w:eastAsia="ru-RU" w:bidi="ru-RU"/>
        </w:rPr>
        <w:t>навыкам СЛР (сердечно-легочной реанимации) для оснащения Домов «ЮНАРМИИ», юнармейских отрядов Республики Татарстан, обоснованной.</w:t>
      </w:r>
    </w:p>
    <w:p>
      <w:pPr>
        <w:pStyle w:val="Style7"/>
        <w:keepNext w:val="0"/>
        <w:keepLines w:val="0"/>
        <w:widowControl w:val="0"/>
        <w:numPr>
          <w:ilvl w:val="0"/>
          <w:numId w:val="3"/>
        </w:numPr>
        <w:shd w:val="clear" w:color="auto" w:fill="auto"/>
        <w:tabs>
          <w:tab w:pos="106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заказчика ГОСУДАРСТВЕННОЕ БЮДЖЕТНОЕ УЧРЕЖДЕНИЕ ДОПОЛНИТЕЛЬНОГО ОБРАЗОВАНИЯ "РЕСПУБЛИКАНСКИЙ ЦЕНТР ВНЕШКОЛЬНОЙ РАБОТЫ" нарушившим требования ч. 6 ст. 23, п. 15 ч. 1, п. 1 ч. 2 ст. 42, ч. 1 ст. 33, ч. 3 ст. 14 Федерального закона от 05.04.2013г. № 44-ФЗ «О контрактной системе в сфере закупок товаров, работ, услуг для обеспечения государственных и муниципальных нужд», п. 4 Постановления Правительства РФ №617.</w:t>
      </w:r>
    </w:p>
    <w:p>
      <w:pPr>
        <w:pStyle w:val="Style7"/>
        <w:keepNext w:val="0"/>
        <w:keepLines w:val="0"/>
        <w:widowControl w:val="0"/>
        <w:numPr>
          <w:ilvl w:val="0"/>
          <w:numId w:val="3"/>
        </w:numPr>
        <w:shd w:val="clear" w:color="auto" w:fill="auto"/>
        <w:tabs>
          <w:tab w:pos="17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Предписание об устранении выявленных нарушений.</w:t>
      </w:r>
    </w:p>
    <w:p>
      <w:pPr>
        <w:pStyle w:val="Style7"/>
        <w:keepNext w:val="0"/>
        <w:keepLines w:val="0"/>
        <w:widowControl w:val="0"/>
        <w:numPr>
          <w:ilvl w:val="0"/>
          <w:numId w:val="3"/>
        </w:numPr>
        <w:shd w:val="clear" w:color="auto" w:fill="auto"/>
        <w:tabs>
          <w:tab w:pos="1065" w:val="left"/>
        </w:tabs>
        <w:bidi w:val="0"/>
        <w:spacing w:before="0" w:after="320" w:line="240" w:lineRule="auto"/>
        <w:ind w:left="0" w:right="0" w:firstLine="72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7"/>
        <w:keepNext w:val="0"/>
        <w:keepLines w:val="0"/>
        <w:widowControl w:val="0"/>
        <w:shd w:val="clear" w:color="auto" w:fill="auto"/>
        <w:bidi w:val="0"/>
        <w:spacing w:before="0" w:after="1280" w:line="240" w:lineRule="auto"/>
        <w:ind w:left="0" w:right="0" w:firstLine="720"/>
        <w:jc w:val="both"/>
      </w:pPr>
      <w:r>
        <w:drawing>
          <wp:anchor distT="0" distB="0" distL="114300" distR="1278890" simplePos="0" relativeHeight="125829383" behindDoc="0" locked="0" layoutInCell="1" allowOverlap="1">
            <wp:simplePos x="0" y="0"/>
            <wp:positionH relativeFrom="page">
              <wp:posOffset>3688080</wp:posOffset>
            </wp:positionH>
            <wp:positionV relativeFrom="paragraph">
              <wp:posOffset>596900</wp:posOffset>
            </wp:positionV>
            <wp:extent cx="2152015" cy="213995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152015" cy="213995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5828030</wp:posOffset>
                </wp:positionH>
                <wp:positionV relativeFrom="paragraph">
                  <wp:posOffset>1233805</wp:posOffset>
                </wp:positionV>
                <wp:extent cx="1173480" cy="1036320"/>
                <wp:wrapNone/>
                <wp:docPr id="13" name="Shape 13"/>
                <a:graphic xmlns:a="http://schemas.openxmlformats.org/drawingml/2006/main">
                  <a:graphicData uri="http://schemas.microsoft.com/office/word/2010/wordprocessingShape">
                    <wps:wsp>
                      <wps:cNvSpPr txBox="1"/>
                      <wps:spPr>
                        <a:xfrm>
                          <a:ext cx="1173480" cy="1036320"/>
                        </a:xfrm>
                        <a:prstGeom prst="rect"/>
                        <a:noFill/>
                      </wps:spPr>
                      <wps:txbx>
                        <w:txbxContent>
                          <w:p>
                            <w:pPr>
                              <w:pStyle w:val="Style9"/>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А.С. Кучеева</w:t>
                            </w:r>
                          </w:p>
                          <w:p>
                            <w:pPr>
                              <w:pStyle w:val="Style9"/>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Г.Р. Курмаева</w:t>
                            </w:r>
                          </w:p>
                          <w:p>
                            <w:pPr>
                              <w:pStyle w:val="Style9"/>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И.Г Никитина</w:t>
                            </w:r>
                          </w:p>
                        </w:txbxContent>
                      </wps:txbx>
                      <wps:bodyPr lIns="0" tIns="0" rIns="0" bIns="0">
                        <a:noAutoFit/>
                      </wps:bodyPr>
                    </wps:wsp>
                  </a:graphicData>
                </a:graphic>
              </wp:anchor>
            </w:drawing>
          </mc:Choice>
          <mc:Fallback>
            <w:pict>
              <v:shape id="_x0000_s1039" type="#_x0000_t202" style="position:absolute;margin-left:458.90000000000003pt;margin-top:97.150000000000006pt;width:92.400000000000006pt;height:81.600000000000009pt;z-index:251657729;mso-wrap-distance-left:0;mso-wrap-distance-right:0;mso-position-horizontal-relative:page" filled="f" stroked="f">
                <v:textbox inset="0,0,0,0">
                  <w:txbxContent>
                    <w:p>
                      <w:pPr>
                        <w:pStyle w:val="Style9"/>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А.С. Кучеева</w:t>
                      </w:r>
                    </w:p>
                    <w:p>
                      <w:pPr>
                        <w:pStyle w:val="Style9"/>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Г.Р. Курмаева</w:t>
                      </w:r>
                    </w:p>
                    <w:p>
                      <w:pPr>
                        <w:pStyle w:val="Style9"/>
                        <w:keepNext w:val="0"/>
                        <w:keepLines w:val="0"/>
                        <w:widowControl w:val="0"/>
                        <w:shd w:val="clear" w:color="auto" w:fill="auto"/>
                        <w:bidi w:val="0"/>
                        <w:spacing w:before="0" w:line="240" w:lineRule="auto"/>
                        <w:ind w:left="0" w:right="0" w:firstLine="0"/>
                        <w:jc w:val="right"/>
                      </w:pPr>
                      <w:r>
                        <w:rPr>
                          <w:color w:val="000000"/>
                          <w:spacing w:val="0"/>
                          <w:w w:val="100"/>
                          <w:position w:val="0"/>
                          <w:shd w:val="clear" w:color="auto" w:fill="auto"/>
                          <w:lang w:val="ru-RU" w:eastAsia="ru-RU" w:bidi="ru-RU"/>
                        </w:rPr>
                        <w:t>И.Г Никитина</w:t>
                      </w:r>
                    </w:p>
                  </w:txbxContent>
                </v:textbox>
                <w10:wrap anchorx="page"/>
              </v:shape>
            </w:pict>
          </mc:Fallback>
        </mc:AlternateContent>
      </w: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 месяцев со дня его принятия.</w:t>
      </w:r>
    </w:p>
    <w:p>
      <w:pPr>
        <w:pStyle w:val="Style7"/>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Зам.Председателя Комиссии:</w:t>
      </w:r>
    </w:p>
    <w:p>
      <w:pPr>
        <w:pStyle w:val="Style7"/>
        <w:keepNext w:val="0"/>
        <w:keepLines w:val="0"/>
        <w:widowControl w:val="0"/>
        <w:shd w:val="clear" w:color="auto" w:fill="auto"/>
        <w:bidi w:val="0"/>
        <w:spacing w:before="0" w:after="580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2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Курмаева Г.Р.8(843)293-10-89</w:t>
      </w:r>
    </w:p>
    <w:sectPr>
      <w:headerReference w:type="default" r:id="rId13"/>
      <w:footerReference w:type="default" r:id="rId14"/>
      <w:footnotePr>
        <w:pos w:val="pageBottom"/>
        <w:numFmt w:val="decimal"/>
        <w:numRestart w:val="continuous"/>
      </w:footnotePr>
      <w:type w:val="continuous"/>
      <w:pgSz w:w="11900" w:h="16840"/>
      <w:pgMar w:top="1072" w:right="773" w:bottom="1330" w:left="951" w:header="0" w:footer="902"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759460</wp:posOffset>
              </wp:positionH>
              <wp:positionV relativeFrom="page">
                <wp:posOffset>10211435</wp:posOffset>
              </wp:positionV>
              <wp:extent cx="563880" cy="115570"/>
              <wp:wrapNone/>
              <wp:docPr id="7" name="Shape 7"/>
              <a:graphic xmlns:a="http://schemas.openxmlformats.org/drawingml/2006/main">
                <a:graphicData uri="http://schemas.microsoft.com/office/word/2010/wordprocessingShape">
                  <wps:wsp>
                    <wps:cNvSpPr txBox="1"/>
                    <wps:spPr>
                      <a:xfrm>
                        <a:ext cx="563880" cy="1155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Fonts w:ascii="Palatino Linotype" w:eastAsia="Palatino Linotype" w:hAnsi="Palatino Linotype" w:cs="Palatino Linotype"/>
                              <w:color w:val="000000"/>
                              <w:spacing w:val="0"/>
                              <w:w w:val="100"/>
                              <w:position w:val="0"/>
                              <w:sz w:val="24"/>
                              <w:szCs w:val="24"/>
                              <w:shd w:val="clear" w:color="auto" w:fill="auto"/>
                              <w:lang w:val="ru-RU" w:eastAsia="ru-RU" w:bidi="ru-RU"/>
                            </w:rPr>
                            <w:t>239348</w:t>
                          </w:r>
                        </w:p>
                      </w:txbxContent>
                    </wps:txbx>
                    <wps:bodyPr wrap="none" lIns="0" tIns="0" rIns="0" bIns="0">
                      <a:spAutoFit/>
                    </wps:bodyPr>
                  </wps:wsp>
                </a:graphicData>
              </a:graphic>
            </wp:anchor>
          </w:drawing>
        </mc:Choice>
        <mc:Fallback>
          <w:pict>
            <v:shape id="_x0000_s1033" type="#_x0000_t202" style="position:absolute;margin-left:59.800000000000004pt;margin-top:804.05000000000007pt;width:44.399999999999999pt;height:9.0999999999999996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Fonts w:ascii="Palatino Linotype" w:eastAsia="Palatino Linotype" w:hAnsi="Palatino Linotype" w:cs="Palatino Linotype"/>
                        <w:color w:val="000000"/>
                        <w:spacing w:val="0"/>
                        <w:w w:val="100"/>
                        <w:position w:val="0"/>
                        <w:sz w:val="24"/>
                        <w:szCs w:val="24"/>
                        <w:shd w:val="clear" w:color="auto" w:fill="auto"/>
                        <w:lang w:val="ru-RU" w:eastAsia="ru-RU" w:bidi="ru-RU"/>
                      </w:rPr>
                      <w:t>239348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3797935</wp:posOffset>
              </wp:positionH>
              <wp:positionV relativeFrom="page">
                <wp:posOffset>436880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299.05000000000001pt;margin-top:34.39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3810000</wp:posOffset>
              </wp:positionH>
              <wp:positionV relativeFrom="page">
                <wp:posOffset>366395</wp:posOffset>
              </wp:positionV>
              <wp:extent cx="57785" cy="106680"/>
              <wp:wrapNone/>
              <wp:docPr id="15" name="Shape 15"/>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0.pt;margin-top:28.850000000000001pt;width:4.54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singl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6D91CA"/>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E6790"/>
      <w:sz w:val="15"/>
      <w:szCs w:val="15"/>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Подпись к картинке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Основной текст (4)_"/>
    <w:basedOn w:val="DefaultParagraphFont"/>
    <w:link w:val="Style20"/>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6D91CA"/>
      <w:u w:val="none"/>
    </w:rPr>
  </w:style>
  <w:style w:type="paragraph" w:customStyle="1" w:styleId="Style4">
    <w:name w:val="Основной текст (3)"/>
    <w:basedOn w:val="Normal"/>
    <w:link w:val="CharStyle5"/>
    <w:pPr>
      <w:widowControl w:val="0"/>
      <w:shd w:val="clear" w:color="auto" w:fill="auto"/>
      <w:spacing w:line="278" w:lineRule="auto"/>
      <w:jc w:val="center"/>
    </w:pPr>
    <w:rPr>
      <w:rFonts w:ascii="Times New Roman" w:eastAsia="Times New Roman" w:hAnsi="Times New Roman" w:cs="Times New Roman"/>
      <w:b w:val="0"/>
      <w:bCs w:val="0"/>
      <w:i w:val="0"/>
      <w:iCs w:val="0"/>
      <w:smallCaps w:val="0"/>
      <w:strike w:val="0"/>
      <w:color w:val="4E6790"/>
      <w:sz w:val="15"/>
      <w:szCs w:val="15"/>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Подпись к картинке"/>
    <w:basedOn w:val="Normal"/>
    <w:link w:val="CharStyle10"/>
    <w:pPr>
      <w:widowControl w:val="0"/>
      <w:shd w:val="clear" w:color="auto" w:fill="auto"/>
      <w:spacing w:after="320"/>
      <w:jc w:val="right"/>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Основной текст (4)"/>
    <w:basedOn w:val="Normal"/>
    <w:link w:val="CharStyle21"/>
    <w:pPr>
      <w:widowControl w:val="0"/>
      <w:shd w:val="clear" w:color="auto" w:fill="auto"/>
      <w:spacing w:after="320"/>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s>
</file>