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b/>
          <w:bCs/>
          <w:color w:val="4B5E8A"/>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е-таП: 1о19@Га8.§оу.ги</w:t>
      </w:r>
    </w:p>
    <w:p>
      <w:pPr>
        <w:pStyle w:val="Style11"/>
        <w:keepNext/>
        <w:keepLines/>
        <w:widowControl w:val="0"/>
        <w:shd w:val="clear" w:color="auto" w:fill="auto"/>
        <w:tabs>
          <w:tab w:pos="183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05.11.2024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ОШ/9949/2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40" w:lineRule="auto"/>
        <w:ind w:left="0" w:right="0" w:firstLine="0"/>
        <w:jc w:val="left"/>
      </w:pPr>
      <w:r>
        <w:rPr>
          <w:color w:val="4B5E8A"/>
          <w:spacing w:val="0"/>
          <w:w w:val="100"/>
          <w:position w:val="0"/>
          <w:shd w:val="clear" w:color="auto" w:fill="auto"/>
          <w:lang w:val="ru-RU" w:eastAsia="ru-RU" w:bidi="ru-RU"/>
        </w:rPr>
        <w:t xml:space="preserve">На №  от </w:t>
      </w:r>
      <w:r>
        <w:rPr>
          <w:color w:val="000000"/>
          <w:spacing w:val="0"/>
          <w:w w:val="100"/>
          <w:position w:val="0"/>
          <w:shd w:val="clear" w:color="auto" w:fill="auto"/>
          <w:lang w:val="ru-RU" w:eastAsia="ru-RU" w:bidi="ru-RU"/>
        </w:rPr>
        <w:t>решение по жалобе № 019/06/106-1613/2024 (ООО "ЛЕБЕНДАУЭР ИНТЕРПРАЙЗЕС")</w:t>
      </w:r>
    </w:p>
    <w:p>
      <w:pPr>
        <w:pStyle w:val="Style15"/>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ru-RU" w:eastAsia="ru-RU" w:bidi="ru-RU"/>
        </w:rPr>
        <w:t>ООО «ЛЕБЕНДАУЭР ИНТЕРПРАЙЗЕС» ЕеЬепс1аиег@таП ,ги</w:t>
      </w:r>
    </w:p>
    <w:p>
      <w:pPr>
        <w:pStyle w:val="Style1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Государственному бюджетному учреждению Республики Хакасия «Ресфармация» ге81агта@г-19.ш; 1гу@ге8Гагта.ги;</w:t>
      </w:r>
    </w:p>
    <w:p>
      <w:pPr>
        <w:pStyle w:val="Style15"/>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ru-RU" w:eastAsia="ru-RU" w:bidi="ru-RU"/>
        </w:rPr>
        <w:t>П11о@ге81агта.ги</w:t>
      </w:r>
    </w:p>
    <w:p>
      <w:pPr>
        <w:pStyle w:val="Style15"/>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 §х@г-19.ш</w:t>
      </w:r>
    </w:p>
    <w:p>
      <w:pPr>
        <w:pStyle w:val="Style15"/>
        <w:keepNext w:val="0"/>
        <w:keepLines w:val="0"/>
        <w:widowControl w:val="0"/>
        <w:shd w:val="clear" w:color="auto" w:fill="auto"/>
        <w:bidi w:val="0"/>
        <w:spacing w:before="0" w:line="259" w:lineRule="auto"/>
        <w:ind w:left="0" w:right="0" w:firstLine="0"/>
        <w:jc w:val="left"/>
      </w:pPr>
      <w:r>
        <w:rPr>
          <w:color w:val="000000"/>
          <w:spacing w:val="0"/>
          <w:w w:val="100"/>
          <w:position w:val="0"/>
          <w:shd w:val="clear" w:color="auto" w:fill="auto"/>
          <w:lang w:val="ru-RU" w:eastAsia="ru-RU" w:bidi="ru-RU"/>
        </w:rPr>
        <w:t>ООО «РТС - тендер» ко@г18-1епс1ег.ги</w:t>
      </w:r>
    </w:p>
    <w:p>
      <w:pPr>
        <w:pStyle w:val="Style15"/>
        <w:keepNext w:val="0"/>
        <w:keepLines w:val="0"/>
        <w:widowControl w:val="0"/>
        <w:shd w:val="clear" w:color="auto" w:fill="auto"/>
        <w:bidi w:val="0"/>
        <w:spacing w:before="0" w:after="0"/>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632" w:bottom="1183" w:left="1140" w:header="0" w:footer="3" w:gutter="0"/>
          <w:pgNumType w:start="1"/>
          <w:cols w:num="2" w:space="720" w:equalWidth="0">
            <w:col w:w="4310" w:space="955"/>
            <w:col w:w="4862"/>
          </w:cols>
          <w:noEndnote/>
          <w:titlePg/>
          <w:rtlGutter w:val="0"/>
          <w:docGrid w:linePitch="360"/>
        </w:sectPr>
      </w:pPr>
      <w:r>
        <w:rPr>
          <w:color w:val="000000"/>
          <w:spacing w:val="0"/>
          <w:w w:val="100"/>
          <w:position w:val="0"/>
          <w:shd w:val="clear" w:color="auto" w:fill="auto"/>
          <w:lang w:val="ru-RU" w:eastAsia="ru-RU" w:bidi="ru-RU"/>
        </w:rPr>
        <w:t>извещение № 0380200000124006566</w: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95" w:right="0" w:bottom="771" w:left="0" w:header="0" w:footer="3" w:gutter="0"/>
          <w:cols w:space="720"/>
          <w:noEndnote/>
          <w:rtlGutter w:val="0"/>
          <w:docGrid w:linePitch="360"/>
        </w:sectPr>
      </w:pPr>
    </w:p>
    <w:p>
      <w:pPr>
        <w:pStyle w:val="Style17"/>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РЕШЕНИЕ</w:t>
        <w:br/>
        <w:t>по жалобе № 019/06/106-1613/2024</w:t>
      </w:r>
    </w:p>
    <w:p>
      <w:pPr>
        <w:pStyle w:val="Style17"/>
        <w:keepNext w:val="0"/>
        <w:keepLines w:val="0"/>
        <w:widowControl w:val="0"/>
        <w:shd w:val="clear" w:color="auto" w:fill="auto"/>
        <w:tabs>
          <w:tab w:pos="9058" w:val="left"/>
        </w:tabs>
        <w:bidi w:val="0"/>
        <w:spacing w:before="0" w:after="240" w:line="293" w:lineRule="auto"/>
        <w:ind w:left="0" w:right="0" w:firstLine="0"/>
        <w:jc w:val="both"/>
      </w:pPr>
      <w:r>
        <w:rPr>
          <w:color w:val="000000"/>
          <w:spacing w:val="0"/>
          <w:w w:val="100"/>
          <w:position w:val="0"/>
          <w:shd w:val="clear" w:color="auto" w:fill="auto"/>
          <w:lang w:val="ru-RU" w:eastAsia="ru-RU" w:bidi="ru-RU"/>
        </w:rPr>
        <w:t>«31» октября 2024 года</w:t>
        <w:tab/>
        <w:t>г. Абакан</w:t>
      </w:r>
    </w:p>
    <w:p>
      <w:pPr>
        <w:pStyle w:val="Style17"/>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Хакасия по контролю закупок (далее - Комиссия) в составе:</w:t>
      </w:r>
    </w:p>
    <w:p>
      <w:pPr>
        <w:pStyle w:val="Style17"/>
        <w:keepNext w:val="0"/>
        <w:keepLines w:val="0"/>
        <w:widowControl w:val="0"/>
        <w:shd w:val="clear" w:color="auto" w:fill="auto"/>
        <w:tabs>
          <w:tab w:pos="5616" w:val="left"/>
        </w:tabs>
        <w:bidi w:val="0"/>
        <w:spacing w:before="0" w:after="0"/>
        <w:ind w:left="0" w:right="0" w:firstLine="0"/>
        <w:jc w:val="left"/>
      </w:pPr>
      <w:r>
        <w:rPr>
          <w:color w:val="000000"/>
          <w:spacing w:val="0"/>
          <w:w w:val="100"/>
          <w:position w:val="0"/>
          <w:shd w:val="clear" w:color="auto" w:fill="auto"/>
          <w:lang w:val="ru-RU" w:eastAsia="ru-RU" w:bidi="ru-RU"/>
        </w:rPr>
        <w:t>Председателя комиссии:</w:t>
        <w:tab/>
        <w:t>, заместителя руководителя</w:t>
      </w:r>
    </w:p>
    <w:p>
      <w:pPr>
        <w:pStyle w:val="Style17"/>
        <w:keepNext w:val="0"/>
        <w:keepLines w:val="0"/>
        <w:widowControl w:val="0"/>
        <w:shd w:val="clear" w:color="auto" w:fill="auto"/>
        <w:bidi w:val="0"/>
        <w:spacing w:before="0" w:after="0"/>
        <w:ind w:left="3620" w:right="0" w:firstLine="0"/>
        <w:jc w:val="left"/>
      </w:pPr>
      <w:r>
        <w:rPr>
          <w:color w:val="000000"/>
          <w:spacing w:val="0"/>
          <w:w w:val="100"/>
          <w:position w:val="0"/>
          <w:shd w:val="clear" w:color="auto" w:fill="auto"/>
          <w:lang w:val="ru-RU" w:eastAsia="ru-RU" w:bidi="ru-RU"/>
        </w:rPr>
        <w:t>управления;</w:t>
      </w:r>
    </w:p>
    <w:p>
      <w:pPr>
        <w:pStyle w:val="Style17"/>
        <w:keepNext w:val="0"/>
        <w:keepLines w:val="0"/>
        <w:widowControl w:val="0"/>
        <w:shd w:val="clear" w:color="auto" w:fill="auto"/>
        <w:tabs>
          <w:tab w:pos="5237" w:val="left"/>
        </w:tabs>
        <w:bidi w:val="0"/>
        <w:spacing w:before="0" w:after="0" w:line="293" w:lineRule="auto"/>
        <w:ind w:left="0" w:right="0" w:firstLine="0"/>
        <w:jc w:val="left"/>
      </w:pPr>
      <w:r>
        <w:rPr>
          <w:color w:val="000000"/>
          <w:spacing w:val="0"/>
          <w:w w:val="100"/>
          <w:position w:val="0"/>
          <w:shd w:val="clear" w:color="auto" w:fill="auto"/>
          <w:lang w:val="ru-RU" w:eastAsia="ru-RU" w:bidi="ru-RU"/>
        </w:rPr>
        <w:t>Членов комиссии:</w:t>
        <w:tab/>
        <w:t>, начальника отдела контроля закупок и</w:t>
      </w:r>
    </w:p>
    <w:p>
      <w:pPr>
        <w:pStyle w:val="Style17"/>
        <w:keepNext w:val="0"/>
        <w:keepLines w:val="0"/>
        <w:widowControl w:val="0"/>
        <w:shd w:val="clear" w:color="auto" w:fill="auto"/>
        <w:bidi w:val="0"/>
        <w:spacing w:before="0" w:after="0" w:line="293" w:lineRule="auto"/>
        <w:ind w:left="660" w:right="0" w:firstLine="2960"/>
        <w:jc w:val="both"/>
      </w:pPr>
      <w:r>
        <w:rPr>
          <w:color w:val="000000"/>
          <w:spacing w:val="0"/>
          <w:w w:val="100"/>
          <w:position w:val="0"/>
          <w:shd w:val="clear" w:color="auto" w:fill="auto"/>
          <w:lang w:val="ru-RU" w:eastAsia="ru-RU" w:bidi="ru-RU"/>
        </w:rPr>
        <w:t xml:space="preserve">антимонопольного контроля органов власти, , ведущего специалиста - эксперта отдела антимонопольного законодательства и рекламы, </w:t>
      </w:r>
      <w:r>
        <w:rPr>
          <w:i/>
          <w:iCs/>
          <w:color w:val="000000"/>
          <w:spacing w:val="0"/>
          <w:w w:val="100"/>
          <w:position w:val="0"/>
          <w:shd w:val="clear" w:color="auto" w:fill="auto"/>
          <w:lang w:val="ru-RU" w:eastAsia="ru-RU" w:bidi="ru-RU"/>
        </w:rPr>
        <w:t>при участии представителей:</w:t>
      </w:r>
    </w:p>
    <w:p>
      <w:pPr>
        <w:pStyle w:val="Style17"/>
        <w:keepNext w:val="0"/>
        <w:keepLines w:val="0"/>
        <w:widowControl w:val="0"/>
        <w:shd w:val="clear" w:color="auto" w:fill="auto"/>
        <w:bidi w:val="0"/>
        <w:spacing w:before="0" w:after="0" w:line="293" w:lineRule="auto"/>
        <w:ind w:left="0" w:right="0" w:firstLine="680"/>
        <w:jc w:val="both"/>
      </w:pPr>
      <w:r>
        <w:rPr>
          <w:i/>
          <w:i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 Общества с ограниченной ответственностью «ЛЕБЕНДАУЭР ИНТЕРПРАЙЗЕС» (далее - Заявитель, ООО «ЛЕБЕНДАУЭР ИНТЕРПРАЙЗЕС», Общество):</w:t>
      </w:r>
    </w:p>
    <w:p>
      <w:pPr>
        <w:pStyle w:val="Style17"/>
        <w:keepNext w:val="0"/>
        <w:keepLines w:val="0"/>
        <w:widowControl w:val="0"/>
        <w:shd w:val="clear" w:color="auto" w:fill="auto"/>
        <w:bidi w:val="0"/>
        <w:spacing w:before="0" w:after="0" w:line="293" w:lineRule="auto"/>
        <w:ind w:left="0" w:right="0" w:firstLine="5140"/>
        <w:jc w:val="both"/>
      </w:pPr>
      <w:r>
        <w:rPr>
          <w:color w:val="000000"/>
          <w:spacing w:val="0"/>
          <w:w w:val="100"/>
          <w:position w:val="0"/>
          <w:shd w:val="clear" w:color="auto" w:fill="auto"/>
          <w:lang w:val="ru-RU" w:eastAsia="ru-RU" w:bidi="ru-RU"/>
        </w:rPr>
        <w:t>, генерального директора Общества на основании решения учредителя № 1 ООО «ЛЕБЕНДАУЭР ИНТЕРПРАЙЗЕС» от 20.04.2020;</w:t>
      </w:r>
    </w:p>
    <w:p>
      <w:pPr>
        <w:pStyle w:val="Style17"/>
        <w:keepNext w:val="0"/>
        <w:keepLines w:val="0"/>
        <w:widowControl w:val="0"/>
        <w:shd w:val="clear" w:color="auto" w:fill="auto"/>
        <w:bidi w:val="0"/>
        <w:spacing w:before="0" w:after="0" w:line="293" w:lineRule="auto"/>
        <w:ind w:left="0" w:right="0" w:firstLine="680"/>
        <w:jc w:val="both"/>
      </w:pPr>
      <w:r>
        <w:rPr>
          <w:i/>
          <w:iCs/>
          <w:color w:val="000000"/>
          <w:spacing w:val="0"/>
          <w:w w:val="100"/>
          <w:position w:val="0"/>
          <w:shd w:val="clear" w:color="auto" w:fill="auto"/>
          <w:lang w:val="ru-RU" w:eastAsia="ru-RU" w:bidi="ru-RU"/>
        </w:rPr>
        <w:t>Государственного заказчика</w:t>
      </w:r>
      <w:r>
        <w:rPr>
          <w:color w:val="000000"/>
          <w:spacing w:val="0"/>
          <w:w w:val="100"/>
          <w:position w:val="0"/>
          <w:shd w:val="clear" w:color="auto" w:fill="auto"/>
          <w:lang w:val="ru-RU" w:eastAsia="ru-RU" w:bidi="ru-RU"/>
        </w:rPr>
        <w:t xml:space="preserve"> - Государственного бюджетного учреждения Республики Хакасия «Ресфармация» (далее — Заказчик, ГБУ РХ «Ресфармация»):</w:t>
      </w:r>
    </w:p>
    <w:p>
      <w:pPr>
        <w:pStyle w:val="Style21"/>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111111111111111111111III</w:t>
      </w:r>
      <w:bookmarkEnd w:id="2"/>
    </w:p>
    <w:p>
      <w:pPr>
        <w:pStyle w:val="Style17"/>
        <w:keepNext w:val="0"/>
        <w:keepLines w:val="0"/>
        <w:widowControl w:val="0"/>
        <w:shd w:val="clear" w:color="auto" w:fill="auto"/>
        <w:bidi w:val="0"/>
        <w:spacing w:before="0" w:after="0"/>
        <w:ind w:left="0" w:right="0" w:firstLine="5060"/>
        <w:jc w:val="both"/>
      </w:pPr>
      <w:r>
        <w:rPr>
          <w:color w:val="000000"/>
          <w:spacing w:val="0"/>
          <w:w w:val="100"/>
          <w:position w:val="0"/>
          <w:shd w:val="clear" w:color="auto" w:fill="auto"/>
          <w:lang w:val="ru-RU" w:eastAsia="ru-RU" w:bidi="ru-RU"/>
        </w:rPr>
        <w:t>, на основании доверенности от 20.04.2024 № 16,</w:t>
      </w:r>
    </w:p>
    <w:p>
      <w:pPr>
        <w:pStyle w:val="Style17"/>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 Государственного комитета по регулированию контрактной системы в сфере закупок Республики Хакасия (далее - Госкомзакуп Хакасии, уполномоченный орган):</w:t>
      </w:r>
    </w:p>
    <w:p>
      <w:pPr>
        <w:pStyle w:val="Style17"/>
        <w:keepNext w:val="0"/>
        <w:keepLines w:val="0"/>
        <w:widowControl w:val="0"/>
        <w:shd w:val="clear" w:color="auto" w:fill="auto"/>
        <w:bidi w:val="0"/>
        <w:spacing w:before="0" w:after="0"/>
        <w:ind w:left="0" w:right="0" w:firstLine="5420"/>
        <w:jc w:val="both"/>
      </w:pPr>
      <w:r>
        <w:rPr>
          <w:color w:val="000000"/>
          <w:spacing w:val="0"/>
          <w:w w:val="100"/>
          <w:position w:val="0"/>
          <w:shd w:val="clear" w:color="auto" w:fill="auto"/>
          <w:lang w:val="ru-RU" w:eastAsia="ru-RU" w:bidi="ru-RU"/>
        </w:rPr>
        <w:t>на основании доверенности № 5 от 23.01.2024,</w:t>
      </w:r>
    </w:p>
    <w:p>
      <w:pPr>
        <w:pStyle w:val="Style17"/>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рассмотрев посредством видео-конференц-связи жалобу ООО «ЛЕБЕНДАУЭР ИНТЕРПРАЙЗЕС» на действия субъектов контроля при проведении электронного аукциона на поставку медицинских изделий для обеспечения льготной категории граждан РЛО (Глюкоза ИВД, реагент) в 2024 году (извещение № 0380200000124006566)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УСТАНОВИЛА:</w:t>
      </w:r>
    </w:p>
    <w:p>
      <w:pPr>
        <w:pStyle w:val="Style1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Хакасское УФАС России поступила жалоба Заявителя на действия комиссии по осуществлению закупок при проведении Аукциона.</w:t>
      </w:r>
    </w:p>
    <w:p>
      <w:pPr>
        <w:pStyle w:val="Style1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Заявитель просит рассмотреть правомерность отклонения его заявки по причине предоставления в составе заявки сертификата соответствия товаров по форме СТ-1 с истекшим сроком действия, при этом с приложением заключения Минпромторга России о российском происхождении предлагаемого к поставке товара. ООО «ЛЕБЕНДАУЭР ИНТЕРПРАЙЗЕС» заняло первое место по результатам торгов, в связи с чем, должно быть признано победителем, считает Заявитель.</w:t>
      </w:r>
    </w:p>
    <w:p>
      <w:pPr>
        <w:pStyle w:val="Style1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заседании Комиссии генеральный директор Общества поддержал указанные в жалобе доводы, настаивая на том, что заявка ООО «ЛЕБЕНДАУЭР ИНТЕРПРАЙЗЕС» соответствует установленным требованиям, в виду предложения к поставке российского товара, что подтверждается заключением Минпромторга России.</w:t>
      </w:r>
    </w:p>
    <w:p>
      <w:pPr>
        <w:pStyle w:val="Style17"/>
        <w:keepNext w:val="0"/>
        <w:keepLines w:val="0"/>
        <w:widowControl w:val="0"/>
        <w:shd w:val="clear" w:color="auto" w:fill="auto"/>
        <w:bidi w:val="0"/>
        <w:spacing w:before="0" w:after="360"/>
        <w:ind w:left="0" w:right="0" w:firstLine="720"/>
        <w:jc w:val="both"/>
      </w:pPr>
      <w:r>
        <w:rPr>
          <w:color w:val="000000"/>
          <w:spacing w:val="0"/>
          <w:w w:val="100"/>
          <w:position w:val="0"/>
          <w:shd w:val="clear" w:color="auto" w:fill="auto"/>
          <w:lang w:val="ru-RU" w:eastAsia="ru-RU" w:bidi="ru-RU"/>
        </w:rPr>
        <w:t>Представители Уполномоченного органа и Заказчика не согласились с доводами Заявителя, представив в материалы дела письменные пояснения, запрашиваемые документы и сообщили, что при проведении Аукциона Заказчик, Уполномоченный орган и его комиссия действовали в соответствии с положениями Закона о контрактной системе.</w:t>
      </w:r>
    </w:p>
    <w:p>
      <w:pPr>
        <w:pStyle w:val="Style17"/>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изменением извещения, электронными документами к нему, протоколами, составленными при определении поставщика (подрядчика, исполнителя):</w:t>
      </w:r>
    </w:p>
    <w:p>
      <w:pPr>
        <w:pStyle w:val="Style17"/>
        <w:keepNext w:val="0"/>
        <w:keepLines w:val="0"/>
        <w:widowControl w:val="0"/>
        <w:numPr>
          <w:ilvl w:val="0"/>
          <w:numId w:val="1"/>
        </w:numPr>
        <w:shd w:val="clear" w:color="auto" w:fill="auto"/>
        <w:tabs>
          <w:tab w:pos="892"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ЕИС - 10.10.2024;</w:t>
      </w:r>
    </w:p>
    <w:p>
      <w:pPr>
        <w:pStyle w:val="Style17"/>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4 292 500,00 руб.;</w:t>
      </w:r>
    </w:p>
    <w:p>
      <w:pPr>
        <w:pStyle w:val="Style17"/>
        <w:keepNext w:val="0"/>
        <w:keepLines w:val="0"/>
        <w:widowControl w:val="0"/>
        <w:numPr>
          <w:ilvl w:val="0"/>
          <w:numId w:val="1"/>
        </w:numPr>
        <w:shd w:val="clear" w:color="auto" w:fill="auto"/>
        <w:tabs>
          <w:tab w:pos="91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7"/>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18.10.2024 06:25;</w:t>
      </w:r>
    </w:p>
    <w:p>
      <w:pPr>
        <w:pStyle w:val="Style17"/>
        <w:keepNext w:val="0"/>
        <w:keepLines w:val="0"/>
        <w:widowControl w:val="0"/>
        <w:numPr>
          <w:ilvl w:val="0"/>
          <w:numId w:val="1"/>
        </w:numPr>
        <w:shd w:val="clear" w:color="auto" w:fill="auto"/>
        <w:tabs>
          <w:tab w:pos="918" w:val="left"/>
        </w:tabs>
        <w:bidi w:val="0"/>
        <w:spacing w:before="0" w:after="0"/>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18.10.2024;</w:t>
      </w:r>
    </w:p>
    <w:p>
      <w:pPr>
        <w:pStyle w:val="Style17"/>
        <w:keepNext w:val="0"/>
        <w:keepLines w:val="0"/>
        <w:widowControl w:val="0"/>
        <w:numPr>
          <w:ilvl w:val="0"/>
          <w:numId w:val="1"/>
        </w:numPr>
        <w:shd w:val="clear" w:color="auto" w:fill="auto"/>
        <w:tabs>
          <w:tab w:pos="922"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22.10.2024;</w:t>
      </w:r>
    </w:p>
    <w:p>
      <w:pPr>
        <w:pStyle w:val="Style17"/>
        <w:keepNext w:val="0"/>
        <w:keepLines w:val="0"/>
        <w:widowControl w:val="0"/>
        <w:numPr>
          <w:ilvl w:val="0"/>
          <w:numId w:val="1"/>
        </w:numPr>
        <w:shd w:val="clear" w:color="auto" w:fill="auto"/>
        <w:tabs>
          <w:tab w:pos="927"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Протокола подачи ценовых предложений от 18.10.2024 ценовые предложения подали 5 участников, лучшее ценовое предложение поступило от участника с идентификационным номером заявки 117448016 и составило 3 003 662,50 руб. (снижение 30,03 %);</w:t>
      </w:r>
    </w:p>
    <w:p>
      <w:pPr>
        <w:pStyle w:val="Style17"/>
        <w:keepNext w:val="0"/>
        <w:keepLines w:val="0"/>
        <w:widowControl w:val="0"/>
        <w:numPr>
          <w:ilvl w:val="0"/>
          <w:numId w:val="1"/>
        </w:numPr>
        <w:shd w:val="clear" w:color="auto" w:fill="auto"/>
        <w:tabs>
          <w:tab w:pos="922" w:val="left"/>
        </w:tabs>
        <w:bidi w:val="0"/>
        <w:spacing w:before="0" w:after="0"/>
        <w:ind w:left="0" w:right="0" w:firstLine="560"/>
        <w:jc w:val="both"/>
      </w:pPr>
      <w:r>
        <w:rPr>
          <w:color w:val="000000"/>
          <w:spacing w:val="0"/>
          <w:w w:val="100"/>
          <w:position w:val="0"/>
          <w:shd w:val="clear" w:color="auto" w:fill="auto"/>
          <w:lang w:val="ru-RU" w:eastAsia="ru-RU" w:bidi="ru-RU"/>
        </w:rPr>
        <w:t>из Протокола подведения итогов определения поставщика (подрядчика, исполнителя) от 22.10.2024 установлено следующее:</w:t>
      </w:r>
    </w:p>
    <w:p>
      <w:pPr>
        <w:pStyle w:val="Style17"/>
        <w:keepNext w:val="0"/>
        <w:keepLines w:val="0"/>
        <w:widowControl w:val="0"/>
        <w:numPr>
          <w:ilvl w:val="0"/>
          <w:numId w:val="3"/>
        </w:numPr>
        <w:shd w:val="clear" w:color="auto" w:fill="auto"/>
        <w:tabs>
          <w:tab w:pos="853" w:val="left"/>
        </w:tabs>
        <w:bidi w:val="0"/>
        <w:spacing w:before="0" w:after="0"/>
        <w:ind w:left="0" w:right="0" w:firstLine="560"/>
        <w:jc w:val="both"/>
      </w:pPr>
      <w:r>
        <w:rPr>
          <w:color w:val="000000"/>
          <w:spacing w:val="0"/>
          <w:w w:val="100"/>
          <w:position w:val="0"/>
          <w:shd w:val="clear" w:color="auto" w:fill="auto"/>
          <w:lang w:val="ru-RU" w:eastAsia="ru-RU" w:bidi="ru-RU"/>
        </w:rPr>
        <w:t>заявки участников с идентификационными номерами 117480991, 117481790, 117482402 признаны соответствующими требованиям Закона о контрактной системе и Извещения об осуществлении закупки;</w:t>
      </w:r>
    </w:p>
    <w:p>
      <w:pPr>
        <w:pStyle w:val="Style17"/>
        <w:keepNext w:val="0"/>
        <w:keepLines w:val="0"/>
        <w:widowControl w:val="0"/>
        <w:numPr>
          <w:ilvl w:val="0"/>
          <w:numId w:val="3"/>
        </w:numPr>
        <w:shd w:val="clear" w:color="auto" w:fill="auto"/>
        <w:tabs>
          <w:tab w:pos="853" w:val="left"/>
        </w:tabs>
        <w:bidi w:val="0"/>
        <w:spacing w:before="0" w:after="0"/>
        <w:ind w:left="0" w:right="0" w:firstLine="560"/>
        <w:jc w:val="both"/>
      </w:pPr>
      <w:r>
        <w:rPr>
          <w:color w:val="000000"/>
          <w:spacing w:val="0"/>
          <w:w w:val="100"/>
          <w:position w:val="0"/>
          <w:shd w:val="clear" w:color="auto" w:fill="auto"/>
          <w:lang w:val="ru-RU" w:eastAsia="ru-RU" w:bidi="ru-RU"/>
        </w:rPr>
        <w:t>заявка участника с идентификационным номером 117448016 (Заявитель) отклонена на основании пункта 4 части 12 статьи 48 Закона о контрактной системе, пункта 4 части 2 Требований к содержанию, составу заявки на участие в закупке, поскольку заявка участника не соответствует ограничениям и условиям допуска товаров, происходящих из иностранных государств в соответствии с Постановлением Правительства РФ от 05.02.2015 № 102 (представленный в составе заявки участника сертификат о происхождении товаров формы СТ-1 с истекшим сроком действия);</w:t>
      </w:r>
    </w:p>
    <w:p>
      <w:pPr>
        <w:pStyle w:val="Style17"/>
        <w:keepNext w:val="0"/>
        <w:keepLines w:val="0"/>
        <w:widowControl w:val="0"/>
        <w:numPr>
          <w:ilvl w:val="0"/>
          <w:numId w:val="3"/>
        </w:numPr>
        <w:shd w:val="clear" w:color="auto" w:fill="auto"/>
        <w:tabs>
          <w:tab w:pos="853" w:val="left"/>
        </w:tabs>
        <w:bidi w:val="0"/>
        <w:spacing w:before="0" w:after="0"/>
        <w:ind w:left="0" w:right="0" w:firstLine="560"/>
        <w:jc w:val="both"/>
      </w:pPr>
      <w:r>
        <w:rPr>
          <w:color w:val="000000"/>
          <w:spacing w:val="0"/>
          <w:w w:val="100"/>
          <w:position w:val="0"/>
          <w:shd w:val="clear" w:color="auto" w:fill="auto"/>
          <w:lang w:val="ru-RU" w:eastAsia="ru-RU" w:bidi="ru-RU"/>
        </w:rPr>
        <w:t>заявка участника с идентификационным номером 117482357 отклонена на основании пункта 4 части 12 статьи 48 Закона о контрактной системе, пункта 4 части 2 Требований к содержанию, составу заявки на участие в закупке, поскольку заявка участника не соответствует ограничениям и условиям допуска товаров, происходящих из иностранных государств в соответствии с Постановлением Правительства РФ от 05.02.2015 № 102.</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Победителем аукциона признан участник закупки с идентификационным номером 117480991 и ценовым предложением 3 025 125,00 руб.</w:t>
      </w:r>
    </w:p>
    <w:p>
      <w:pPr>
        <w:pStyle w:val="Style17"/>
        <w:keepNext w:val="0"/>
        <w:keepLines w:val="0"/>
        <w:widowControl w:val="0"/>
        <w:numPr>
          <w:ilvl w:val="0"/>
          <w:numId w:val="1"/>
        </w:numPr>
        <w:shd w:val="clear" w:color="auto" w:fill="auto"/>
        <w:tabs>
          <w:tab w:pos="891" w:val="left"/>
        </w:tabs>
        <w:bidi w:val="0"/>
        <w:spacing w:before="0" w:after="360"/>
        <w:ind w:left="0" w:right="0" w:firstLine="54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данного Федерального закона.</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пункта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ограничения допуска товаров, работ, услуг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и перечень таких товаров, для целей осуществления закупок.</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Постановлением Правительства Российской Федерации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 в соответствии с частью 3 статьи 14 Закона о контрактной системе, установлено ограничение допуска товаров.</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Пунктом 2 Постановления № 102 предусмотрено, что для целей осуществления закупок отдельных видов медицинских изделий, включенных в перечень № 1 или перечень № 2 Постановления № 102, заказчик отклоняет все заявки, содержащие </w:t>
      </w:r>
      <w:r>
        <w:rPr>
          <w:color w:val="000000"/>
          <w:spacing w:val="0"/>
          <w:w w:val="100"/>
          <w:position w:val="0"/>
          <w:shd w:val="clear" w:color="auto" w:fill="auto"/>
          <w:lang w:val="ru-RU" w:eastAsia="ru-RU" w:bidi="ru-RU"/>
        </w:rPr>
        <w:t>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контрактной системе предусмотрена документация о закупке).</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пункту 3 Постановления № 102 подтверждением страны происхождения медицинских изделий, включенных в перечень № 1 и перечень № 2 Постановления № 102,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разделе 1 Положения о порядке выдачи документов, подтверждающих страну происхождения отдельных видов товаров для целей государственных (муниципальных) закупок на территории государств - членов Евразийского экономического союза, утв. Приказом ТПП РФ от 14.09.2023 № 61, определено, что сертификат СТ-1 - это сертификат о происхождении товара формы СТ-1, выданный в соответствии с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 подтверждающий происхождение товара из Российской Федерации или других государств - членов Еврази</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В пункте 3.4 Положения о порядке выдачи документов, подтверждающих страну происхождения отдельных видов товаров для целей государственных (муниципальных) закупок на территории государств - членов Евразийского экономического союза, утв. Приказом ТПП РФ от 14.09.2023 № 61, указано, что </w:t>
      </w:r>
      <w:r>
        <w:rPr>
          <w:b/>
          <w:bCs/>
          <w:color w:val="000000"/>
          <w:spacing w:val="0"/>
          <w:w w:val="100"/>
          <w:position w:val="0"/>
          <w:shd w:val="clear" w:color="auto" w:fill="auto"/>
          <w:lang w:val="ru-RU" w:eastAsia="ru-RU" w:bidi="ru-RU"/>
        </w:rPr>
        <w:t>сертификат СТ-1 имеет срок действия один год с даты его выдачи.</w:t>
      </w:r>
    </w:p>
    <w:p>
      <w:pPr>
        <w:pStyle w:val="Style17"/>
        <w:keepNext w:val="0"/>
        <w:keepLines w:val="0"/>
        <w:widowControl w:val="0"/>
        <w:shd w:val="clear" w:color="auto" w:fill="auto"/>
        <w:bidi w:val="0"/>
        <w:spacing w:before="0" w:after="0"/>
        <w:ind w:left="0" w:right="0" w:firstLine="560"/>
        <w:jc w:val="both"/>
      </w:pPr>
      <w:r>
        <w:rPr>
          <w:b/>
          <w:bCs/>
          <w:color w:val="000000"/>
          <w:spacing w:val="0"/>
          <w:w w:val="100"/>
          <w:position w:val="0"/>
          <w:shd w:val="clear" w:color="auto" w:fill="auto"/>
          <w:lang w:val="ru-RU" w:eastAsia="ru-RU" w:bidi="ru-RU"/>
        </w:rPr>
        <w:t>Датой выдачи сертификата СТ-1 является дата, указываемая в графе 12 сертификата СТ-1.</w:t>
      </w:r>
    </w:p>
    <w:p>
      <w:pPr>
        <w:pStyle w:val="Style17"/>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 xml:space="preserve">Согласно пункта 5 части 1 статьи 43 Закона о контрактной системе для участия в конкурентном способе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w:t>
      </w:r>
      <w:r>
        <w:rPr>
          <w:color w:val="000000"/>
          <w:spacing w:val="0"/>
          <w:w w:val="100"/>
          <w:position w:val="0"/>
          <w:shd w:val="clear" w:color="auto" w:fill="auto"/>
          <w:lang w:val="ru-RU" w:eastAsia="ru-RU" w:bidi="ru-RU"/>
        </w:rPr>
        <w:t xml:space="preserve">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w:t>
      </w:r>
      <w:r>
        <w:rPr>
          <w:b/>
          <w:bCs/>
          <w:color w:val="000000"/>
          <w:spacing w:val="0"/>
          <w:w w:val="100"/>
          <w:position w:val="0"/>
          <w:shd w:val="clear" w:color="auto" w:fill="auto"/>
          <w:lang w:val="ru-RU" w:eastAsia="ru-RU" w:bidi="ru-RU"/>
        </w:rPr>
        <w:t xml:space="preserve">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w:t>
      </w:r>
      <w:r>
        <w:rPr>
          <w:color w:val="000000"/>
          <w:spacing w:val="0"/>
          <w:w w:val="100"/>
          <w:position w:val="0"/>
          <w:shd w:val="clear" w:color="auto" w:fill="auto"/>
          <w:lang w:val="ru-RU" w:eastAsia="ru-RU" w:bidi="ru-RU"/>
        </w:rPr>
        <w:t>или группы иностранных государств, работ, услуг, соответственно выполняемых, оказываемых иностранными лицами.</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Объектом спорной закупки является поставка медицинских изделий для обеспечения льготной категории граждан РЛО (Глюкоза ИВД, реагент), в соответствии с позицией каталога товаров, работ, услуг для обеспечения государственных и муниципальных нужд 21.20.23.110-00004459, при этом код ОКПД2 21.20.23.110 включен в перечень № 1 Постановления № 102, в связи с чем, в Извещении об осуществлении закупки Заказчиком правомерно установлено ограничение допуска отдельных видов медицинских изделий в соответствии с Постановлением № 102.</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протоколу подведения итогов от 22.10.2024 из 5 поданных заявок на участие в электронном аукционе признаны соответствующими требованиям 3 заявки, отклонены — 2 заявки, в том числе заявка заявителя (участник с идентификационным номером заявки 117448016) признана не соответствующей требованиям извещения о закупке, так как в составе заявки предоставлен сертификат о происхождении товара по форме СТ-1, срок действия которого истек.</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Из анализа заявки Заявителя следует, что для целей подтверждения страны происхождения товара предоставлен сертификат о происхождении товара СТ-1 на Измеритель концентрации глюкозы в крови портативный с полоской электрохимической однократного применения ПГК-03 «САТЕЛЛИТ ЭКСПРЕСС», выданный 28.03.2023, следовательно, срок действия сертификата на дату подачи заявки ООО «ЛЕБЕНДАУЭР ИНТЕРПРАЙЗЕС» истек (в марте 2024 года).</w:t>
      </w:r>
    </w:p>
    <w:p>
      <w:pPr>
        <w:pStyle w:val="Style17"/>
        <w:keepNext w:val="0"/>
        <w:keepLines w:val="0"/>
        <w:widowControl w:val="0"/>
        <w:shd w:val="clear" w:color="auto" w:fill="auto"/>
        <w:bidi w:val="0"/>
        <w:spacing w:before="0" w:after="0"/>
        <w:ind w:left="0" w:right="0" w:firstLine="560"/>
        <w:jc w:val="both"/>
        <w:sectPr>
          <w:footnotePr>
            <w:pos w:val="pageBottom"/>
            <w:numFmt w:val="decimal"/>
            <w:numRestart w:val="continuous"/>
          </w:footnotePr>
          <w:type w:val="continuous"/>
          <w:pgSz w:w="11900" w:h="16840"/>
          <w:pgMar w:top="895" w:right="475" w:bottom="771" w:left="1038" w:header="0" w:footer="3" w:gutter="0"/>
          <w:cols w:space="720"/>
          <w:noEndnote/>
          <w:rtlGutter w:val="0"/>
          <w:docGrid w:linePitch="360"/>
        </w:sectPr>
      </w:pPr>
      <w:r>
        <w:rPr>
          <w:color w:val="000000"/>
          <w:spacing w:val="0"/>
          <w:w w:val="100"/>
          <w:position w:val="0"/>
          <w:shd w:val="clear" w:color="auto" w:fill="auto"/>
          <w:lang w:val="ru-RU" w:eastAsia="ru-RU" w:bidi="ru-RU"/>
        </w:rPr>
        <w:t>С учётом изложенного, Комиссия антимонопольного органа признает обоснованным решение комиссии уполномоченного органа о признании заявки Подателя жалобы не соответствующей ограничениям и условиям допуска товаров, происходящих из иностранных государств в соответствии с Постановлением № 102, поскольку в составе заявки участника представлен сертификат о происхождении товара формы СТ-1 с истекшим сроком действия, что приравнивается к непредставлению данных документов в составе заявки. В связи с чем, комиссия по осуществлению закупок обоснованно признала заявку ООО «ЛЕБЕНДАУЭР ИНТЕРПРАЙЗЕС» несоответствующей установленным требованиям.</w:t>
      </w:r>
    </w:p>
    <w:p>
      <w:pPr>
        <w:pStyle w:val="Style17"/>
        <w:keepNext w:val="0"/>
        <w:keepLines w:val="0"/>
        <w:widowControl w:val="0"/>
        <w:shd w:val="clear" w:color="auto" w:fill="auto"/>
        <w:bidi w:val="0"/>
        <w:spacing w:before="0" w:after="0" w:line="288" w:lineRule="auto"/>
        <w:ind w:left="0" w:right="0" w:firstLine="580"/>
        <w:jc w:val="both"/>
      </w:pPr>
      <w:r>
        <w:rPr>
          <w:color w:val="000000"/>
          <w:spacing w:val="0"/>
          <w:w w:val="100"/>
          <w:position w:val="0"/>
          <w:shd w:val="clear" w:color="auto" w:fill="auto"/>
          <w:lang w:val="ru-RU" w:eastAsia="ru-RU" w:bidi="ru-RU"/>
        </w:rPr>
        <w:t>При этом довод Заявителя о предоставлении в составе заявки заключения Минпромторга России, подтверждающего российское происхождение товара, подлежит отклонению, поскольку согласно пункту 3 Постановления № 102 подтверждением страны происхождения медицинских изделий, включенных в перечень № 1 и перечень № 2 Постановления № 102, является исключительно сертификат о происхождении товара формы СТ-1. Законодателем не предусмотрена возможность предоставления иных документов в подтверждение соответствия страны происхождения медицинских изделий в рамках Постановления № 102.</w:t>
      </w:r>
    </w:p>
    <w:p>
      <w:pPr>
        <w:pStyle w:val="Style17"/>
        <w:keepNext w:val="0"/>
        <w:keepLines w:val="0"/>
        <w:widowControl w:val="0"/>
        <w:shd w:val="clear" w:color="auto" w:fill="auto"/>
        <w:bidi w:val="0"/>
        <w:spacing w:before="0" w:after="0" w:line="288" w:lineRule="auto"/>
        <w:ind w:left="0" w:right="0" w:firstLine="580"/>
        <w:jc w:val="both"/>
      </w:pPr>
      <w:r>
        <w:rPr>
          <w:color w:val="000000"/>
          <w:spacing w:val="0"/>
          <w:w w:val="100"/>
          <w:position w:val="0"/>
          <w:shd w:val="clear" w:color="auto" w:fill="auto"/>
          <w:lang w:val="ru-RU" w:eastAsia="ru-RU" w:bidi="ru-RU"/>
        </w:rPr>
        <w:t>Таким образом, поскольку на участие в закупке подано 3 заявки, соответствующих требованиям, установленным в извещении об осуществлении закупки, комиссия по осуществлению закупок на основании пункта 4 части 12 статьи 48 Закона б контрактной системе правомерно отклонила 2 заявки, в том числе и заявку Заявителя (участник с идентификационным номером заявки 117448016), содержащие предложения о поставке медицинских изделий, происходящих из иностранных государств (в заявках отсутствовали документы, предоставление которых предусмотрено пунктом 5 части 1 статьи 43 Закона о контрактной системе, следовательно, такие заявки приравнены к заявкам, содержащим предложение о поставке иностранных товаров).</w:t>
      </w:r>
    </w:p>
    <w:p>
      <w:pPr>
        <w:pStyle w:val="Style17"/>
        <w:keepNext w:val="0"/>
        <w:keepLines w:val="0"/>
        <w:widowControl w:val="0"/>
        <w:shd w:val="clear" w:color="auto" w:fill="auto"/>
        <w:bidi w:val="0"/>
        <w:spacing w:before="0" w:after="0" w:line="288" w:lineRule="auto"/>
        <w:ind w:left="0" w:right="0" w:firstLine="580"/>
        <w:jc w:val="both"/>
      </w:pPr>
      <w:r>
        <w:rPr>
          <w:color w:val="000000"/>
          <w:spacing w:val="0"/>
          <w:w w:val="100"/>
          <w:position w:val="0"/>
          <w:shd w:val="clear" w:color="auto" w:fill="auto"/>
          <w:lang w:val="ru-RU" w:eastAsia="ru-RU" w:bidi="ru-RU"/>
        </w:rPr>
        <w:t>На основании вышеизложенного и руководствуясь положениями Закона о контрактной системе, Комиссия,</w:t>
      </w:r>
    </w:p>
    <w:p>
      <w:pPr>
        <w:pStyle w:val="Style17"/>
        <w:keepNext w:val="0"/>
        <w:keepLines w:val="0"/>
        <w:widowControl w:val="0"/>
        <w:shd w:val="clear" w:color="auto" w:fill="auto"/>
        <w:bidi w:val="0"/>
        <w:spacing w:before="0" w:after="0" w:line="288" w:lineRule="auto"/>
        <w:ind w:left="0" w:right="0" w:firstLine="0"/>
        <w:jc w:val="center"/>
      </w:pPr>
      <w:r>
        <w:rPr>
          <w:b/>
          <w:bCs/>
          <w:color w:val="000000"/>
          <w:spacing w:val="0"/>
          <w:w w:val="100"/>
          <w:position w:val="0"/>
          <w:shd w:val="clear" w:color="auto" w:fill="auto"/>
          <w:lang w:val="ru-RU" w:eastAsia="ru-RU" w:bidi="ru-RU"/>
        </w:rPr>
        <w:t>РЕШИЛА:</w:t>
      </w:r>
    </w:p>
    <w:p>
      <w:pPr>
        <w:pStyle w:val="Style17"/>
        <w:keepNext w:val="0"/>
        <w:keepLines w:val="0"/>
        <w:widowControl w:val="0"/>
        <w:shd w:val="clear" w:color="auto" w:fill="auto"/>
        <w:bidi w:val="0"/>
        <w:spacing w:before="0" w:after="0" w:line="288" w:lineRule="auto"/>
        <w:ind w:left="0" w:right="0" w:firstLine="560"/>
        <w:jc w:val="both"/>
      </w:pPr>
      <w:r>
        <w:rPr>
          <w:color w:val="000000"/>
          <w:spacing w:val="0"/>
          <w:w w:val="100"/>
          <w:position w:val="0"/>
          <w:shd w:val="clear" w:color="auto" w:fill="auto"/>
          <w:lang w:val="ru-RU" w:eastAsia="ru-RU" w:bidi="ru-RU"/>
        </w:rPr>
        <w:t>Признать жалобу ООО «ЛЕБЕНДАУЭР ИНТЕРПРАЙЗЕС» необоснованной.</w:t>
      </w:r>
    </w:p>
    <w:p>
      <w:pPr>
        <w:pStyle w:val="Style15"/>
        <w:keepNext w:val="0"/>
        <w:keepLines w:val="0"/>
        <w:widowControl w:val="0"/>
        <w:shd w:val="clear" w:color="auto" w:fill="auto"/>
        <w:bidi w:val="0"/>
        <w:spacing w:before="0" w:after="220" w:line="298" w:lineRule="auto"/>
        <w:ind w:left="0" w:right="0" w:firstLine="580"/>
        <w:jc w:val="both"/>
      </w:pPr>
      <w:r>
        <w:rPr>
          <w:i/>
          <w:iCs/>
          <w:color w:val="000000"/>
          <w:spacing w:val="0"/>
          <w:w w:val="100"/>
          <w:position w:val="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pStyle w:val="Style17"/>
        <w:keepNext w:val="0"/>
        <w:keepLines w:val="0"/>
        <w:widowControl w:val="0"/>
        <w:shd w:val="clear" w:color="auto" w:fill="auto"/>
        <w:bidi w:val="0"/>
        <w:spacing w:before="0" w:after="980" w:line="288"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Члены комиссии:</w:t>
      </w:r>
    </w:p>
    <w:sectPr>
      <w:headerReference w:type="default" r:id="rId11"/>
      <w:footerReference w:type="default" r:id="rId12"/>
      <w:footnotePr>
        <w:pos w:val="pageBottom"/>
        <w:numFmt w:val="decimal"/>
        <w:numRestart w:val="continuous"/>
      </w:footnotePr>
      <w:type w:val="continuous"/>
      <w:pgSz w:w="11900" w:h="16840"/>
      <w:pgMar w:top="895" w:right="475" w:bottom="771" w:left="103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716915</wp:posOffset>
              </wp:positionH>
              <wp:positionV relativeFrom="page">
                <wp:posOffset>9962515</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2024-10679</w:t>
                          </w:r>
                        </w:p>
                      </w:txbxContent>
                    </wps:txbx>
                    <wps:bodyPr wrap="none" lIns="0" tIns="0" rIns="0" bIns="0">
                      <a:spAutoFit/>
                    </wps:bodyPr>
                  </wps:wsp>
                </a:graphicData>
              </a:graphic>
            </wp:anchor>
          </w:drawing>
        </mc:Choice>
        <mc:Fallback>
          <w:pict>
            <v:shape id="_x0000_s1030" type="#_x0000_t202" style="position:absolute;margin-left:56.450000000000003pt;margin-top:784.45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2024-10679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725170" cy="100330"/>
              <wp:wrapNone/>
              <wp:docPr id="6" name="Shape 6"/>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2024-10679</w:t>
                          </w:r>
                        </w:p>
                      </w:txbxContent>
                    </wps:txbx>
                    <wps:bodyPr wrap="none" lIns="0" tIns="0" rIns="0" bIns="0">
                      <a:spAutoFit/>
                    </wps:bodyPr>
                  </wps:wsp>
                </a:graphicData>
              </a:graphic>
            </wp:anchor>
          </w:drawing>
        </mc:Choice>
        <mc:Fallback>
          <w:pict>
            <v:shape id="_x0000_s1032" type="#_x0000_t202" style="position:absolute;margin-left:57.pt;margin-top:776.2000000000000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2024-10679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814705</wp:posOffset>
              </wp:positionH>
              <wp:positionV relativeFrom="page">
                <wp:posOffset>9791700</wp:posOffset>
              </wp:positionV>
              <wp:extent cx="707390" cy="109855"/>
              <wp:wrapNone/>
              <wp:docPr id="10" name="Shape 10"/>
              <a:graphic xmlns:a="http://schemas.openxmlformats.org/drawingml/2006/main">
                <a:graphicData uri="http://schemas.microsoft.com/office/word/2010/wordprocessingShape">
                  <wps:wsp>
                    <wps:cNvSpPr txBox="1"/>
                    <wps:spPr>
                      <a:xfrm>
                        <a:ext cx="70739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2024-10706</w:t>
                          </w:r>
                        </w:p>
                      </w:txbxContent>
                    </wps:txbx>
                    <wps:bodyPr wrap="none" lIns="0" tIns="0" rIns="0" bIns="0">
                      <a:spAutoFit/>
                    </wps:bodyPr>
                  </wps:wsp>
                </a:graphicData>
              </a:graphic>
            </wp:anchor>
          </w:drawing>
        </mc:Choice>
        <mc:Fallback>
          <w:pict>
            <v:shape id="_x0000_s1036" type="#_x0000_t202" style="position:absolute;margin-left:64.150000000000006pt;margin-top:771.pt;width:55.700000000000003pt;height:8.6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2024-10706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3917315</wp:posOffset>
              </wp:positionH>
              <wp:positionV relativeFrom="page">
                <wp:posOffset>708660</wp:posOffset>
              </wp:positionV>
              <wp:extent cx="67310" cy="100330"/>
              <wp:wrapNone/>
              <wp:docPr id="2" name="Shape 2"/>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44999999999999pt;margin-top:55.800000000000004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3950970</wp:posOffset>
              </wp:positionH>
              <wp:positionV relativeFrom="page">
                <wp:posOffset>870585</wp:posOffset>
              </wp:positionV>
              <wp:extent cx="64135" cy="109855"/>
              <wp:wrapNone/>
              <wp:docPr id="8" name="Shape 8"/>
              <a:graphic xmlns:a="http://schemas.openxmlformats.org/drawingml/2006/main">
                <a:graphicData uri="http://schemas.microsoft.com/office/word/2010/wordprocessingShape">
                  <wps:wsp>
                    <wps:cNvSpPr txBox="1"/>
                    <wps:spPr>
                      <a:xfrm>
                        <a:ext cx="6413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11.10000000000002pt;margin-top:68.549999999999997pt;width:5.0499999999999998pt;height:8.6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B5E8A"/>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 (2)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54"/>
      <w:szCs w:val="54"/>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B5E8A"/>
      <w:sz w:val="16"/>
      <w:szCs w:val="16"/>
      <w:u w:val="none"/>
    </w:rPr>
  </w:style>
  <w:style w:type="paragraph" w:customStyle="1" w:styleId="Style8">
    <w:name w:val="Основной текст (3)"/>
    <w:basedOn w:val="Normal"/>
    <w:link w:val="CharStyle9"/>
    <w:pPr>
      <w:widowControl w:val="0"/>
      <w:shd w:val="clear" w:color="auto" w:fill="auto"/>
      <w:spacing w:after="180"/>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2)"/>
    <w:basedOn w:val="Normal"/>
    <w:link w:val="CharStyle16"/>
    <w:pPr>
      <w:widowControl w:val="0"/>
      <w:shd w:val="clear" w:color="auto" w:fill="auto"/>
      <w:spacing w:after="260" w:line="264"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Основной текст"/>
    <w:basedOn w:val="Normal"/>
    <w:link w:val="CharStyle18"/>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Заголовок №1"/>
    <w:basedOn w:val="Normal"/>
    <w:link w:val="CharStyle22"/>
    <w:pPr>
      <w:widowControl w:val="0"/>
      <w:shd w:val="clear" w:color="auto" w:fill="auto"/>
      <w:outlineLvl w:val="0"/>
    </w:pPr>
    <w:rPr>
      <w:rFonts w:ascii="Arial" w:eastAsia="Arial" w:hAnsi="Arial" w:cs="Arial"/>
      <w:b w:val="0"/>
      <w:bCs w:val="0"/>
      <w:i w:val="0"/>
      <w:iCs w:val="0"/>
      <w:smallCaps w:val="0"/>
      <w:strike w:val="0"/>
      <w:sz w:val="54"/>
      <w:szCs w:val="5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s>
</file>

<file path=docProps/core.xml><?xml version="1.0" encoding="utf-8"?>
<cp:coreProperties xmlns:cp="http://schemas.openxmlformats.org/package/2006/metadata/core-properties" xmlns:dc="http://purl.org/dc/elements/1.1/">
  <dc:title>Федеральный закон от 05.04.2013 N 44-ФЗ(ред. от 08.08.2024)"О контрактной системе в сфере закупок товаров, работ, услуг для обеспечения государственных и муниципальных нужд"(с изм. и доп., вступ. в силу с 01.10.2024)</dc:title>
  <dc:subject/>
  <dc:creator/>
  <cp:keywords/>
</cp:coreProperties>
</file>