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1080" w:right="0" w:firstLine="0"/>
        <w:jc w:val="left"/>
      </w:pPr>
      <w:r>
        <w:drawing>
          <wp:anchor distT="130810" distB="1027430" distL="114300" distR="2640965" simplePos="0" relativeHeight="125829378" behindDoc="0" locked="0" layoutInCell="1" allowOverlap="1">
            <wp:simplePos x="0" y="0"/>
            <wp:positionH relativeFrom="page">
              <wp:posOffset>3568700</wp:posOffset>
            </wp:positionH>
            <wp:positionV relativeFrom="paragraph">
              <wp:posOffset>143510</wp:posOffset>
            </wp:positionV>
            <wp:extent cx="585470" cy="65214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52145"/>
                    </a:xfrm>
                    <a:prstGeom prst="rect"/>
                  </pic:spPr>
                </pic:pic>
              </a:graphicData>
            </a:graphic>
          </wp:anchor>
        </w:drawing>
      </w:r>
      <w:r>
        <mc:AlternateContent>
          <mc:Choice Requires="wps">
            <w:drawing>
              <wp:anchor distT="0" distB="0" distL="1184275" distR="114300" simplePos="0" relativeHeight="125829379" behindDoc="0" locked="0" layoutInCell="1" allowOverlap="1">
                <wp:simplePos x="0" y="0"/>
                <wp:positionH relativeFrom="page">
                  <wp:posOffset>4638675</wp:posOffset>
                </wp:positionH>
                <wp:positionV relativeFrom="paragraph">
                  <wp:posOffset>12700</wp:posOffset>
                </wp:positionV>
                <wp:extent cx="2038985" cy="1810385"/>
                <wp:wrapSquare wrapText="left"/>
                <wp:docPr id="3" name="Shape 3"/>
                <a:graphic xmlns:a="http://schemas.openxmlformats.org/drawingml/2006/main">
                  <a:graphicData uri="http://schemas.microsoft.com/office/word/2010/wordprocessingShape">
                    <wps:wsp>
                      <wps:cNvSpPr txBox="1"/>
                      <wps:spPr>
                        <a:xfrm>
                          <a:ext cx="2038985" cy="1810385"/>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line="288" w:lineRule="auto"/>
                              <w:ind w:left="0" w:right="0" w:firstLine="0"/>
                              <w:jc w:val="center"/>
                            </w:pPr>
                            <w:r>
                              <w:rPr>
                                <w:spacing w:val="0"/>
                                <w:w w:val="100"/>
                                <w:position w:val="0"/>
                                <w:shd w:val="clear" w:color="auto" w:fill="auto"/>
                                <w:lang w:val="ru-RU" w:eastAsia="ru-RU" w:bidi="ru-RU"/>
                              </w:rPr>
                              <w:t>Мэскэу ур.. 55 йорт, Казан шэЬэрс. 420021</w:t>
                              <w:br/>
                              <w:t>тел.: (843) 236-89-22, факс (843) 238-19-46</w:t>
                              <w:br/>
                              <w:t>е-таП: 1о16@Га8.§оу.ги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5.25pt;margin-top:1.pt;width:160.55000000000001pt;height:142.55000000000001pt;z-index:-125829374;mso-wrap-distance-left:93.25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line="288" w:lineRule="auto"/>
                        <w:ind w:left="0" w:right="0" w:firstLine="0"/>
                        <w:jc w:val="center"/>
                      </w:pPr>
                      <w:r>
                        <w:rPr>
                          <w:spacing w:val="0"/>
                          <w:w w:val="100"/>
                          <w:position w:val="0"/>
                          <w:shd w:val="clear" w:color="auto" w:fill="auto"/>
                          <w:lang w:val="ru-RU" w:eastAsia="ru-RU" w:bidi="ru-RU"/>
                        </w:rPr>
                        <w:t>Мэскэу ур.. 55 йорт, Казан шэЬэрс. 420021</w:t>
                        <w:br/>
                        <w:t>тел.: (843) 236-89-22, факс (843) 238-19-46</w:t>
                        <w:br/>
                        <w:t>е-таП: 1о16@Га8.§оу.ги</w:t>
                      </w:r>
                    </w:p>
                  </w:txbxContent>
                </v:textbox>
                <w10:wrap type="square" side="left" anchorx="page"/>
              </v:shape>
            </w:pict>
          </mc:Fallback>
        </mc:AlternateContent>
      </w:r>
      <w:r>
        <w:rPr>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line="240" w:lineRule="auto"/>
        <w:ind w:left="0" w:right="0" w:firstLine="0"/>
        <w:jc w:val="left"/>
      </w:pPr>
      <w:r>
        <w:rPr>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320" w:line="283"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Ю16@Га8.§оу.ги</w:t>
      </w:r>
    </w:p>
    <w:p>
      <w:pPr>
        <w:pStyle w:val="Style10"/>
        <w:keepNext w:val="0"/>
        <w:keepLines w:val="0"/>
        <w:widowControl w:val="0"/>
        <w:shd w:val="clear" w:color="auto" w:fill="auto"/>
        <w:tabs>
          <w:tab w:pos="3441" w:val="left"/>
        </w:tabs>
        <w:bidi w:val="0"/>
        <w:spacing w:before="0" w:line="240" w:lineRule="auto"/>
        <w:ind w:right="0" w:firstLine="0"/>
        <w:jc w:val="left"/>
      </w:pPr>
      <w:r>
        <w:rPr>
          <w:spacing w:val="0"/>
          <w:w w:val="100"/>
          <w:position w:val="0"/>
          <w:shd w:val="clear" w:color="auto" w:fill="auto"/>
          <w:lang w:val="ru-RU" w:eastAsia="ru-RU" w:bidi="ru-RU"/>
        </w:rPr>
        <w:t xml:space="preserve">г&amp;г'г </w:t>
      </w:r>
      <w:r>
        <w:rPr>
          <w:color w:val="506992"/>
          <w:spacing w:val="0"/>
          <w:w w:val="100"/>
          <w:position w:val="0"/>
          <w:u w:val="none"/>
          <w:shd w:val="clear" w:color="auto" w:fill="auto"/>
          <w:lang w:val="ru-RU" w:eastAsia="ru-RU" w:bidi="ru-RU"/>
        </w:rPr>
        <w:t>№</w:t>
      </w:r>
      <w:r>
        <w:rPr>
          <w:color w:val="506992"/>
          <w:spacing w:val="0"/>
          <w:w w:val="100"/>
          <w:position w:val="0"/>
          <w:shd w:val="clear" w:color="auto" w:fill="auto"/>
          <w:lang w:val="ru-RU" w:eastAsia="ru-RU" w:bidi="ru-RU"/>
        </w:rPr>
        <w:tab/>
      </w:r>
      <w:r>
        <w:rPr>
          <w:spacing w:val="0"/>
          <w:w w:val="100"/>
          <w:position w:val="0"/>
          <w:shd w:val="clear" w:color="auto" w:fill="auto"/>
          <w:lang w:val="ru-RU" w:eastAsia="ru-RU" w:bidi="ru-RU"/>
        </w:rPr>
        <w:t>///</w:t>
      </w:r>
      <w:r>
        <w:rPr>
          <w:spacing w:val="0"/>
          <w:w w:val="100"/>
          <w:position w:val="0"/>
          <w:u w:val="none"/>
          <w:shd w:val="clear" w:color="auto" w:fill="auto"/>
          <w:lang w:val="ru-RU" w:eastAsia="ru-RU" w:bidi="ru-RU"/>
        </w:rPr>
        <w:t>222,</w:t>
      </w:r>
    </w:p>
    <w:p>
      <w:pPr>
        <w:pStyle w:val="Style2"/>
        <w:keepNext w:val="0"/>
        <w:keepLines w:val="0"/>
        <w:widowControl w:val="0"/>
        <w:shd w:val="clear" w:color="auto" w:fill="auto"/>
        <w:bidi w:val="0"/>
        <w:spacing w:before="0" w:after="1340" w:line="240" w:lineRule="auto"/>
        <w:ind w:left="0" w:right="0" w:firstLine="0"/>
        <w:jc w:val="left"/>
      </w:pPr>
      <w:r>
        <w:rPr>
          <w:spacing w:val="0"/>
          <w:w w:val="100"/>
          <w:position w:val="0"/>
          <w:sz w:val="24"/>
          <w:szCs w:val="24"/>
          <w:shd w:val="clear" w:color="auto" w:fill="auto"/>
          <w:lang w:val="ru-RU" w:eastAsia="ru-RU" w:bidi="ru-RU"/>
        </w:rPr>
        <w:t xml:space="preserve">На </w:t>
      </w:r>
      <w:r>
        <w:rPr>
          <w:color w:val="506992"/>
          <w:spacing w:val="0"/>
          <w:w w:val="100"/>
          <w:position w:val="0"/>
          <w:sz w:val="24"/>
          <w:szCs w:val="24"/>
          <w:shd w:val="clear" w:color="auto" w:fill="auto"/>
          <w:lang w:val="ru-RU" w:eastAsia="ru-RU" w:bidi="ru-RU"/>
        </w:rPr>
        <w:t>№</w:t>
      </w:r>
      <w:r>
        <w:rPr>
          <w:b w:val="0"/>
          <w:bCs w:val="0"/>
          <w:color w:val="506992"/>
          <w:spacing w:val="0"/>
          <w:w w:val="100"/>
          <w:position w:val="0"/>
          <w:sz w:val="24"/>
          <w:szCs w:val="24"/>
          <w:shd w:val="clear" w:color="auto" w:fill="auto"/>
          <w:lang w:val="ru-RU" w:eastAsia="ru-RU" w:bidi="ru-RU"/>
        </w:rPr>
        <w:t>от</w:t>
      </w:r>
    </w:p>
    <w:p>
      <w:pPr>
        <w:pStyle w:val="Style6"/>
        <w:keepNext w:val="0"/>
        <w:keepLines w:val="0"/>
        <w:widowControl w:val="0"/>
        <w:shd w:val="clear" w:color="auto" w:fill="auto"/>
        <w:bidi w:val="0"/>
        <w:spacing w:before="0" w:after="0" w:line="240" w:lineRule="auto"/>
        <w:ind w:left="5220" w:right="0" w:firstLine="20"/>
        <w:jc w:val="left"/>
      </w:pPr>
      <w:r>
        <w:rPr>
          <w:color w:val="000000"/>
          <w:spacing w:val="0"/>
          <w:w w:val="100"/>
          <w:position w:val="0"/>
          <w:shd w:val="clear" w:color="auto" w:fill="auto"/>
          <w:lang w:val="ru-RU" w:eastAsia="ru-RU" w:bidi="ru-RU"/>
        </w:rPr>
        <w:t>Уполномоченному органу: ИСПОЛНИТЕЛЬНОМУ КОМИТЕТУ АЛЬМЕТЬЕВСКОГО МР РТ</w:t>
      </w:r>
    </w:p>
    <w:p>
      <w:pPr>
        <w:pStyle w:val="Style6"/>
        <w:keepNext w:val="0"/>
        <w:keepLines w:val="0"/>
        <w:widowControl w:val="0"/>
        <w:shd w:val="clear" w:color="auto" w:fill="auto"/>
        <w:bidi w:val="0"/>
        <w:spacing w:before="0" w:after="320" w:line="240" w:lineRule="auto"/>
        <w:ind w:left="5220" w:right="0" w:firstLine="20"/>
        <w:jc w:val="left"/>
      </w:pPr>
      <w:r>
        <w:rPr>
          <w:color w:val="000000"/>
          <w:spacing w:val="0"/>
          <w:w w:val="100"/>
          <w:position w:val="0"/>
          <w:u w:val="single"/>
          <w:shd w:val="clear" w:color="auto" w:fill="auto"/>
          <w:lang w:val="ru-RU" w:eastAsia="ru-RU" w:bidi="ru-RU"/>
        </w:rPr>
        <w:t>Ш2.а1та1@та11.ги</w:t>
      </w:r>
    </w:p>
    <w:p>
      <w:pPr>
        <w:pStyle w:val="Style6"/>
        <w:keepNext w:val="0"/>
        <w:keepLines w:val="0"/>
        <w:widowControl w:val="0"/>
        <w:shd w:val="clear" w:color="auto" w:fill="auto"/>
        <w:bidi w:val="0"/>
        <w:spacing w:before="0" w:after="0" w:line="240" w:lineRule="auto"/>
        <w:ind w:left="5220" w:right="0" w:firstLine="20"/>
        <w:jc w:val="left"/>
      </w:pPr>
      <w:r>
        <w:rPr>
          <w:color w:val="000000"/>
          <w:spacing w:val="0"/>
          <w:w w:val="100"/>
          <w:position w:val="0"/>
          <w:shd w:val="clear" w:color="auto" w:fill="auto"/>
          <w:lang w:val="ru-RU" w:eastAsia="ru-RU" w:bidi="ru-RU"/>
        </w:rPr>
        <w:t>Заказчику:</w:t>
      </w:r>
    </w:p>
    <w:p>
      <w:pPr>
        <w:pStyle w:val="Style6"/>
        <w:keepNext w:val="0"/>
        <w:keepLines w:val="0"/>
        <w:widowControl w:val="0"/>
        <w:shd w:val="clear" w:color="auto" w:fill="auto"/>
        <w:bidi w:val="0"/>
        <w:spacing w:before="0" w:after="0" w:line="240" w:lineRule="auto"/>
        <w:ind w:left="5220" w:right="0" w:firstLine="20"/>
        <w:jc w:val="left"/>
      </w:pPr>
      <w:r>
        <w:rPr>
          <w:color w:val="000000"/>
          <w:spacing w:val="0"/>
          <w:w w:val="100"/>
          <w:position w:val="0"/>
          <w:shd w:val="clear" w:color="auto" w:fill="auto"/>
          <w:lang w:val="ru-RU" w:eastAsia="ru-RU" w:bidi="ru-RU"/>
        </w:rPr>
        <w:t>МАОУ «ИНЖЕНЕРНЫЙ ЛИЦЕЙ»</w:t>
      </w:r>
    </w:p>
    <w:p>
      <w:pPr>
        <w:pStyle w:val="Style6"/>
        <w:keepNext w:val="0"/>
        <w:keepLines w:val="0"/>
        <w:widowControl w:val="0"/>
        <w:shd w:val="clear" w:color="auto" w:fill="auto"/>
        <w:bidi w:val="0"/>
        <w:spacing w:before="0" w:after="320" w:line="240" w:lineRule="auto"/>
        <w:ind w:left="5220" w:right="0" w:firstLine="20"/>
        <w:jc w:val="left"/>
      </w:pPr>
      <w:r>
        <w:rPr>
          <w:color w:val="000000"/>
          <w:spacing w:val="0"/>
          <w:w w:val="100"/>
          <w:position w:val="0"/>
          <w:shd w:val="clear" w:color="auto" w:fill="auto"/>
          <w:lang w:val="ru-RU" w:eastAsia="ru-RU" w:bidi="ru-RU"/>
        </w:rPr>
        <w:t xml:space="preserve">Г.АЛЬМЕТЬЕВСКА </w:t>
      </w:r>
      <w:r>
        <w:rPr>
          <w:color w:val="000000"/>
          <w:spacing w:val="0"/>
          <w:w w:val="100"/>
          <w:position w:val="0"/>
          <w:u w:val="single"/>
          <w:shd w:val="clear" w:color="auto" w:fill="auto"/>
          <w:lang w:val="ru-RU" w:eastAsia="ru-RU" w:bidi="ru-RU"/>
        </w:rPr>
        <w:t>ге1еа2213@таП.ги</w:t>
      </w:r>
    </w:p>
    <w:p>
      <w:pPr>
        <w:pStyle w:val="Style6"/>
        <w:keepNext w:val="0"/>
        <w:keepLines w:val="0"/>
        <w:widowControl w:val="0"/>
        <w:shd w:val="clear" w:color="auto" w:fill="auto"/>
        <w:bidi w:val="0"/>
        <w:spacing w:before="0" w:after="0" w:line="240" w:lineRule="auto"/>
        <w:ind w:left="5220" w:right="0" w:firstLine="20"/>
        <w:jc w:val="left"/>
      </w:pPr>
      <w:r>
        <w:rPr>
          <w:color w:val="000000"/>
          <w:spacing w:val="0"/>
          <w:w w:val="100"/>
          <w:position w:val="0"/>
          <w:shd w:val="clear" w:color="auto" w:fill="auto"/>
          <w:lang w:val="ru-RU" w:eastAsia="ru-RU" w:bidi="ru-RU"/>
        </w:rPr>
        <w:t>Заявителю:</w:t>
      </w:r>
    </w:p>
    <w:p>
      <w:pPr>
        <w:pStyle w:val="Style6"/>
        <w:keepNext w:val="0"/>
        <w:keepLines w:val="0"/>
        <w:widowControl w:val="0"/>
        <w:shd w:val="clear" w:color="auto" w:fill="auto"/>
        <w:bidi w:val="0"/>
        <w:spacing w:before="0" w:after="0" w:line="240" w:lineRule="auto"/>
        <w:ind w:left="5220" w:right="0" w:firstLine="20"/>
        <w:jc w:val="left"/>
      </w:pPr>
      <w:r>
        <w:rPr>
          <w:color w:val="000000"/>
          <w:spacing w:val="0"/>
          <w:w w:val="100"/>
          <w:position w:val="0"/>
          <w:shd w:val="clear" w:color="auto" w:fill="auto"/>
          <w:lang w:val="ru-RU" w:eastAsia="ru-RU" w:bidi="ru-RU"/>
        </w:rPr>
        <w:t>ИП Смирнову Н.А.</w:t>
      </w:r>
    </w:p>
    <w:p>
      <w:pPr>
        <w:pStyle w:val="Style6"/>
        <w:keepNext w:val="0"/>
        <w:keepLines w:val="0"/>
        <w:widowControl w:val="0"/>
        <w:shd w:val="clear" w:color="auto" w:fill="auto"/>
        <w:bidi w:val="0"/>
        <w:spacing w:before="0" w:after="620" w:line="240" w:lineRule="auto"/>
        <w:ind w:left="5220" w:right="0" w:firstLine="20"/>
        <w:jc w:val="left"/>
      </w:pPr>
      <w:r>
        <w:rPr>
          <w:color w:val="000000"/>
          <w:spacing w:val="0"/>
          <w:w w:val="100"/>
          <w:position w:val="0"/>
          <w:u w:val="single"/>
          <w:shd w:val="clear" w:color="auto" w:fill="auto"/>
          <w:lang w:val="ru-RU" w:eastAsia="ru-RU" w:bidi="ru-RU"/>
        </w:rPr>
        <w:t>п1к8т1г66@уапс1ех.ги</w:t>
      </w:r>
    </w:p>
    <w:p>
      <w:pPr>
        <w:pStyle w:val="Style6"/>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 016/06/33-1494/2024</w:t>
      </w:r>
    </w:p>
    <w:p>
      <w:pPr>
        <w:pStyle w:val="Style6"/>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6391275</wp:posOffset>
                </wp:positionH>
                <wp:positionV relativeFrom="paragraph">
                  <wp:posOffset>25400</wp:posOffset>
                </wp:positionV>
                <wp:extent cx="716280" cy="216535"/>
                <wp:wrapSquare wrapText="left"/>
                <wp:docPr id="5" name="Shape 5"/>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1" type="#_x0000_t202" style="position:absolute;margin-left:503.25pt;margin-top:2.pt;width:56.399999999999999pt;height:17.050000000000001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31 октября 2024 года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6"/>
        <w:keepNext w:val="0"/>
        <w:keepLines w:val="0"/>
        <w:widowControl w:val="0"/>
        <w:shd w:val="clear" w:color="auto" w:fill="auto"/>
        <w:tabs>
          <w:tab w:pos="6030" w:val="left"/>
        </w:tabs>
        <w:bidi w:val="0"/>
        <w:spacing w:before="0" w:after="0" w:line="240" w:lineRule="auto"/>
        <w:ind w:left="0" w:right="0" w:firstLine="800"/>
        <w:jc w:val="left"/>
      </w:pPr>
      <w:r>
        <w:rPr>
          <w:color w:val="000000"/>
          <w:spacing w:val="0"/>
          <w:w w:val="100"/>
          <w:position w:val="0"/>
          <w:shd w:val="clear" w:color="auto" w:fill="auto"/>
          <w:lang w:val="ru-RU" w:eastAsia="ru-RU" w:bidi="ru-RU"/>
        </w:rPr>
        <w:t>Зам. Председателя Комиссии:</w:t>
        <w:tab/>
        <w:t>Кучеевой А.С. - начальника</w:t>
      </w:r>
    </w:p>
    <w:p>
      <w:pPr>
        <w:pStyle w:val="Style6"/>
        <w:keepNext w:val="0"/>
        <w:keepLines w:val="0"/>
        <w:widowControl w:val="0"/>
        <w:shd w:val="clear" w:color="auto" w:fill="auto"/>
        <w:bidi w:val="0"/>
        <w:spacing w:before="0" w:after="0" w:line="240" w:lineRule="auto"/>
        <w:ind w:left="6040" w:right="0" w:firstLine="0"/>
        <w:jc w:val="left"/>
      </w:pPr>
      <w:r>
        <w:rPr>
          <w:color w:val="000000"/>
          <w:spacing w:val="0"/>
          <w:w w:val="100"/>
          <w:position w:val="0"/>
          <w:shd w:val="clear" w:color="auto" w:fill="auto"/>
          <w:lang w:val="ru-RU" w:eastAsia="ru-RU" w:bidi="ru-RU"/>
        </w:rPr>
        <w:t>отдела,</w:t>
      </w:r>
    </w:p>
    <w:p>
      <w:pPr>
        <w:pStyle w:val="Style6"/>
        <w:keepNext w:val="0"/>
        <w:keepLines w:val="0"/>
        <w:widowControl w:val="0"/>
        <w:shd w:val="clear" w:color="auto" w:fill="auto"/>
        <w:tabs>
          <w:tab w:pos="6030" w:val="left"/>
        </w:tabs>
        <w:bidi w:val="0"/>
        <w:spacing w:before="0" w:after="0" w:line="240" w:lineRule="auto"/>
        <w:ind w:left="0" w:right="0" w:firstLine="800"/>
        <w:jc w:val="left"/>
      </w:pPr>
      <w:r>
        <w:rPr>
          <w:color w:val="000000"/>
          <w:spacing w:val="0"/>
          <w:w w:val="100"/>
          <w:position w:val="0"/>
          <w:shd w:val="clear" w:color="auto" w:fill="auto"/>
          <w:lang w:val="ru-RU" w:eastAsia="ru-RU" w:bidi="ru-RU"/>
        </w:rPr>
        <w:t>Членов Комиссии:</w:t>
        <w:tab/>
        <w:t>Курмаевой Г.Р. - старшего</w:t>
      </w:r>
    </w:p>
    <w:p>
      <w:pPr>
        <w:pStyle w:val="Style6"/>
        <w:keepNext w:val="0"/>
        <w:keepLines w:val="0"/>
        <w:widowControl w:val="0"/>
        <w:shd w:val="clear" w:color="auto" w:fill="auto"/>
        <w:bidi w:val="0"/>
        <w:spacing w:before="0" w:after="320" w:line="240" w:lineRule="auto"/>
        <w:ind w:left="6040" w:right="0" w:firstLine="20"/>
        <w:jc w:val="left"/>
      </w:pPr>
      <w:r>
        <w:rPr>
          <w:color w:val="000000"/>
          <w:spacing w:val="0"/>
          <w:w w:val="100"/>
          <w:position w:val="0"/>
          <w:shd w:val="clear" w:color="auto" w:fill="auto"/>
          <w:lang w:val="ru-RU" w:eastAsia="ru-RU" w:bidi="ru-RU"/>
        </w:rPr>
        <w:t>государственного инспектора, Никитиной И.Г. - специалиста 1</w:t>
      </w:r>
    </w:p>
    <w:p>
      <w:pPr>
        <w:pStyle w:val="Style6"/>
        <w:keepNext w:val="0"/>
        <w:keepLines w:val="0"/>
        <w:widowControl w:val="0"/>
        <w:shd w:val="clear" w:color="auto" w:fill="auto"/>
        <w:bidi w:val="0"/>
        <w:spacing w:before="0" w:after="100" w:line="240" w:lineRule="auto"/>
        <w:ind w:left="0" w:right="0" w:firstLine="0"/>
        <w:jc w:val="center"/>
      </w:pPr>
      <w:r>
        <w:rPr>
          <w:color w:val="000000"/>
          <w:spacing w:val="0"/>
          <w:w w:val="100"/>
          <w:position w:val="0"/>
          <w:shd w:val="clear" w:color="auto" w:fill="auto"/>
          <w:lang w:val="ru-RU" w:eastAsia="ru-RU" w:bidi="ru-RU"/>
        </w:rPr>
        <w:t>разряда,</w:t>
      </w:r>
    </w:p>
    <w:p>
      <w:pPr>
        <w:pStyle w:val="Style6"/>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заказчика МАОУ «Инженерный лицей» г. Альметьевска - Царева Л.С. (по доверенности), в отсутствие представителей уполномоченного органа, заявителя ИП Смирнова Н.А., о месте и времени рассмотрения жалобы извещенных надлежащим образом, рассмотрев посредством видеоконференции жалобу заявителя ИП Смирнова Н.А. (вх. №11525/ж от 28.10.2024г.) на действия уполномоченного органа - Исполнительного комитета Альметьевского МР РТ, заказчика - МАОУ «Инженерный лицей» г. Альметьевска при проведении закупки №0111300063224000548 на предмет: «Поставка оборудования для оснащения гончарной мастерской»,</w:t>
      </w:r>
    </w:p>
    <w:p>
      <w:pPr>
        <w:pStyle w:val="Style6"/>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№0111300063224000548 на предмет: «Поставка оборудования для оснащения гончарной мастерской»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млуду.хакирк!.доу.ги</w:t>
      </w:r>
      <w:r>
        <w:rPr>
          <w:color w:val="000000"/>
          <w:spacing w:val="0"/>
          <w:w w:val="100"/>
          <w:position w:val="0"/>
          <w:shd w:val="clear" w:color="auto" w:fill="auto"/>
          <w:lang w:val="ru-RU" w:eastAsia="ru-RU" w:bidi="ru-RU"/>
        </w:rPr>
        <w:t xml:space="preserve"> 17.10.2024г.</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об установлении технических характеристик, соответствующих одному производителю.</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6"/>
        <w:keepNext w:val="0"/>
        <w:keepLines w:val="0"/>
        <w:widowControl w:val="0"/>
        <w:shd w:val="clear" w:color="auto" w:fill="auto"/>
        <w:bidi w:val="0"/>
        <w:spacing w:before="0" w:after="0" w:line="240" w:lineRule="auto"/>
        <w:ind w:left="0" w:right="0" w:firstLine="72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94" w:right="635" w:bottom="1274" w:left="94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1 части 2 статьи 42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6"/>
        <w:keepNext w:val="0"/>
        <w:keepLines w:val="0"/>
        <w:widowControl w:val="0"/>
        <w:shd w:val="clear" w:color="auto" w:fill="auto"/>
        <w:bidi w:val="0"/>
        <w:spacing w:before="0" w:after="0" w:line="240"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представленным доводам жалобы заявителя, если рассматривать требуемые обязательные (неизменяемые) характеристики товара «Гончарный круг» (№ 1 в списке) в совокупности с другими характеристиками в установленных числовых пределах размеров, то описание указывает на единственный вариант- гончарный круг 1Мо1с1 РгоГеззюпа! </w:t>
      </w:r>
      <w:r>
        <w:rPr>
          <w:rFonts w:ascii="Arial" w:eastAsia="Arial" w:hAnsi="Arial" w:cs="Arial"/>
          <w:smallCaps/>
          <w:color w:val="000000"/>
          <w:spacing w:val="0"/>
          <w:w w:val="100"/>
          <w:position w:val="0"/>
          <w:sz w:val="22"/>
          <w:szCs w:val="22"/>
          <w:shd w:val="clear" w:color="auto" w:fill="auto"/>
          <w:lang w:val="ru-RU" w:eastAsia="ru-RU" w:bidi="ru-RU"/>
        </w:rPr>
        <w:t>уЗ.</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Также Заявитель указывает, что всем затребованным характеристикам товара «Печь для обжига керамических изделий» (№ 3 в списке) в комплексе соответствует только единственный вариант печи 2ю1о 80, производитель также 1М0Ш.</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представленным пояснениям Заказчика, в ходе подготовки аукционной документации Заказчиком были проанализированы рынки предложений поставляемых товаров и информация о технических характеристиках и ценах на данный товар, полученная от представителей производителей, осуществляющих поставку этих товаров. Анализ сайтов информационно - телекоммуникационной сети «Интернет» также указывают на то, что требуемый товар имеется в наличии в достаточном количестве на товарном рынке, и представленные в извещении о закупке условия не являются невыполнимым требованием для ее участников. И только проанализировав, и проверив информацию, предоставленную поставщиками, Заказчиками сформулированы технические характеристики товаров, являющихся предметом закупки.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Также согласно пояснениям Заказчика, по позиции «Печь для обжига керамических изделий» применён КТРУ 28.21.12.000-00000039. Так как в данной позиции параметры отсутствуют, Заказчиком при составлении требований к товару для удовлетворения нужд Заказчика использовалась дополнительная информация в соответствии с п.5 «Правил использования каталога товаров, работ, услуг для обеспечения государственных и муниципальных нужд» с указанием на обоснование включения дополнительной информации в сведения о товаре. Указанные заказчиком характеристики в описании объекта закупки соответствуют не менее, чем двум производителям.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Также на заседании Комиссии представителем Заказчика было озвучено, что помимо указанных Заявителем аппаратов, под совокупность установленных характеристик подходят такие оборудования как «Гончарный круг Никодим - 550 Проф», «Гончарный круг КГ-250 Профи», «Муфельная печь Рубедо 80», «Муфельная печь Рубедо Этна 80».</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Правила описания объекта закупки определены статьей 33 Закона о контрактной системе. Частью 2 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стороны необоснованно не ограничить количество участников.</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Исполнением требований статьи 33 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Татарстанского УФАС России в ходе анализа технического задания заказчика и представленных пояснений установлено, что совокупности установленных технических характеристик аппаратов «Гончарный круг» и «Печь для обжига керамических изделий» соответствует оборудование изготовителей «Мастерская Никодим», «КГ-250 Профи», «РУБЕПО».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заявителем в материалы дела не представлены объективные документальные подтверждения того, что установленным техническим характеристикам гончарного круга и печи для обжига соответствует продукция только одного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уточняет, что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Бремя доказывания при рассмотрении жалобы в контрольном органе в сфере закупок возлагается на лицо, подавшее жалобу на соответствующие действия Заказчика.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заявителем на заседании Комиссии не представлены объективные документальные подтверждения того, что установленным техническим характеристикам гончарного круга и печи для обжига соответствует продукция только одного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Татарстанского УФАС России приходит к выводу, что в рассматриваемом случае, заказчик, установив требования к характеристикам товара, которые соответствуют как минимум двум производителям не ограничил доступ для участия в закупке лицам, желающим поставить товар иного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вышеизложенное, Комиссия приходит к выводу о том, что Законом о контрактной системе не предусмотрено ограничений по включению в извещение требований к товару, являющихся значимыми для заказчика. При этом, указанные в ст. 33 Закона № 44-ФЗ, правила описания объекта закупки не предусматривают обоснования значимости для заказчика каждой характеристики товара. Кроме того, в соответствии с 44-ФЗ, Заказчик имеет право детализировать требования к товару в необходимой для него степени.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заявителя признан необоснованным.</w:t>
      </w:r>
    </w:p>
    <w:p>
      <w:pPr>
        <w:pStyle w:val="Style6"/>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6"/>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заявителя ИП Смирнова Н.А. (вх. №11525/ж от 28.10.2024г.) на действия уполномоченного органа - Исполнительного комитета Альметьевского МР РТ, заказчика - МАОУ «Инженерный лицей» г. Альметьевска при проведении закупки №0111300063224000548 на предмет: «Поставка оборудования для оснащения гончарной мастерской» необоснованной.</w:t>
      </w:r>
      <w:r>
        <w:br w:type="page"/>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6"/>
        <w:keepNext w:val="0"/>
        <w:keepLines w:val="0"/>
        <w:widowControl w:val="0"/>
        <w:shd w:val="clear" w:color="auto" w:fill="auto"/>
        <w:bidi w:val="0"/>
        <w:spacing w:before="0" w:after="640" w:line="240" w:lineRule="auto"/>
        <w:ind w:left="0" w:right="0" w:firstLine="0"/>
        <w:jc w:val="left"/>
      </w:pPr>
      <w:r>
        <w:drawing>
          <wp:anchor distT="0" distB="0" distL="114300" distR="1281430" simplePos="0" relativeHeight="125829383" behindDoc="0" locked="0" layoutInCell="1" allowOverlap="1">
            <wp:simplePos x="0" y="0"/>
            <wp:positionH relativeFrom="page">
              <wp:posOffset>3517265</wp:posOffset>
            </wp:positionH>
            <wp:positionV relativeFrom="paragraph">
              <wp:posOffset>25400</wp:posOffset>
            </wp:positionV>
            <wp:extent cx="2353310" cy="2298065"/>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353310" cy="22980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5876290</wp:posOffset>
                </wp:positionH>
                <wp:positionV relativeFrom="paragraph">
                  <wp:posOffset>619760</wp:posOffset>
                </wp:positionV>
                <wp:extent cx="1161415" cy="1039495"/>
                <wp:wrapNone/>
                <wp:docPr id="13" name="Shape 13"/>
                <a:graphic xmlns:a="http://schemas.openxmlformats.org/drawingml/2006/main">
                  <a:graphicData uri="http://schemas.microsoft.com/office/word/2010/wordprocessingShape">
                    <wps:wsp>
                      <wps:cNvSpPr txBox="1"/>
                      <wps:spPr>
                        <a:xfrm>
                          <a:ext cx="1161415" cy="1039495"/>
                        </a:xfrm>
                        <a:prstGeom prst="rect"/>
                        <a:noFill/>
                      </wps:spPr>
                      <wps:txbx>
                        <w:txbxContent>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39" type="#_x0000_t202" style="position:absolute;margin-left:462.69999999999999pt;margin-top:48.800000000000004pt;width:91.450000000000003pt;height:81.850000000000009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8"/>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p>
      <w:pPr>
        <w:pStyle w:val="Style6"/>
        <w:keepNext w:val="0"/>
        <w:keepLines w:val="0"/>
        <w:widowControl w:val="0"/>
        <w:shd w:val="clear" w:color="auto" w:fill="auto"/>
        <w:bidi w:val="0"/>
        <w:spacing w:before="0" w:after="105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480" w:line="240" w:lineRule="auto"/>
        <w:ind w:left="0" w:right="0" w:firstLine="0"/>
        <w:jc w:val="left"/>
      </w:pPr>
      <w:r>
        <w:rPr>
          <w:b w:val="0"/>
          <w:bCs w:val="0"/>
          <w:color w:val="000000"/>
          <w:spacing w:val="0"/>
          <w:w w:val="100"/>
          <w:position w:val="0"/>
          <w:sz w:val="24"/>
          <w:szCs w:val="24"/>
          <w:shd w:val="clear" w:color="auto" w:fill="auto"/>
          <w:lang w:val="ru-RU" w:eastAsia="ru-RU" w:bidi="ru-RU"/>
        </w:rPr>
        <w:t>Исп.: Никитина И.Г., Тел. 8(843)293-10-91</w:t>
      </w:r>
    </w:p>
    <w:sectPr>
      <w:headerReference w:type="default" r:id="rId13"/>
      <w:footerReference w:type="default" r:id="rId14"/>
      <w:footnotePr>
        <w:pos w:val="pageBottom"/>
        <w:numFmt w:val="decimal"/>
        <w:numRestart w:val="continuous"/>
      </w:footnotePr>
      <w:type w:val="continuous"/>
      <w:pgSz w:w="11900" w:h="16840"/>
      <w:pgMar w:top="1194" w:right="635" w:bottom="1274" w:left="945" w:header="0" w:footer="846"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754380</wp:posOffset>
              </wp:positionH>
              <wp:positionV relativeFrom="page">
                <wp:posOffset>10274300</wp:posOffset>
              </wp:positionV>
              <wp:extent cx="570230" cy="118745"/>
              <wp:wrapNone/>
              <wp:docPr id="9" name="Shape 9"/>
              <a:graphic xmlns:a="http://schemas.openxmlformats.org/drawingml/2006/main">
                <a:graphicData uri="http://schemas.microsoft.com/office/word/2010/wordprocessingShape">
                  <wps:wsp>
                    <wps:cNvSpPr txBox="1"/>
                    <wps:spPr>
                      <a:xfrm>
                        <a:ext cx="570230" cy="11874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239352</w:t>
                          </w:r>
                        </w:p>
                      </w:txbxContent>
                    </wps:txbx>
                    <wps:bodyPr wrap="none" lIns="0" tIns="0" rIns="0" bIns="0">
                      <a:spAutoFit/>
                    </wps:bodyPr>
                  </wps:wsp>
                </a:graphicData>
              </a:graphic>
            </wp:anchor>
          </w:drawing>
        </mc:Choice>
        <mc:Fallback>
          <w:pict>
            <v:shape id="_x0000_s1035" type="#_x0000_t202" style="position:absolute;margin-left:59.399999999999999pt;margin-top:809.pt;width:44.899999999999999pt;height:9.3499999999999996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239352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3853815</wp:posOffset>
              </wp:positionH>
              <wp:positionV relativeFrom="page">
                <wp:posOffset>468630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3.44999999999999pt;margin-top:36.899999999999999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3855720</wp:posOffset>
              </wp:positionH>
              <wp:positionV relativeFrom="page">
                <wp:posOffset>438150</wp:posOffset>
              </wp:positionV>
              <wp:extent cx="54610" cy="106680"/>
              <wp:wrapNone/>
              <wp:docPr id="15" name="Shape 15"/>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3.60000000000002pt;margin-top:34.5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E92CA"/>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506992"/>
      <w:sz w:val="15"/>
      <w:szCs w:val="15"/>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Основной текст (4)_"/>
    <w:basedOn w:val="DefaultParagraphFont"/>
    <w:link w:val="Style10"/>
    <w:rPr>
      <w:rFonts w:ascii="Arial" w:eastAsia="Arial" w:hAnsi="Arial" w:cs="Arial"/>
      <w:b w:val="0"/>
      <w:bCs w:val="0"/>
      <w:i/>
      <w:iCs/>
      <w:smallCaps w:val="0"/>
      <w:strike w:val="0"/>
      <w:color w:val="3B3081"/>
      <w:sz w:val="22"/>
      <w:szCs w:val="22"/>
      <w:u w:val="singl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6E92CA"/>
      <w:u w:val="none"/>
    </w:rPr>
  </w:style>
  <w:style w:type="paragraph" w:customStyle="1" w:styleId="Style4">
    <w:name w:val="Основной текст (3)"/>
    <w:basedOn w:val="Normal"/>
    <w:link w:val="CharStyle5"/>
    <w:pPr>
      <w:widowControl w:val="0"/>
      <w:shd w:val="clear" w:color="auto" w:fill="auto"/>
      <w:spacing w:after="290" w:line="286" w:lineRule="auto"/>
      <w:jc w:val="center"/>
    </w:pPr>
    <w:rPr>
      <w:rFonts w:ascii="Times New Roman" w:eastAsia="Times New Roman" w:hAnsi="Times New Roman" w:cs="Times New Roman"/>
      <w:b w:val="0"/>
      <w:bCs w:val="0"/>
      <w:i w:val="0"/>
      <w:iCs w:val="0"/>
      <w:smallCaps w:val="0"/>
      <w:strike w:val="0"/>
      <w:color w:val="506992"/>
      <w:sz w:val="15"/>
      <w:szCs w:val="15"/>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Подпись к картинке"/>
    <w:basedOn w:val="Normal"/>
    <w:link w:val="CharStyle9"/>
    <w:pPr>
      <w:widowControl w:val="0"/>
      <w:shd w:val="clear" w:color="auto" w:fill="auto"/>
      <w:spacing w:after="320"/>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Основной текст (4)"/>
    <w:basedOn w:val="Normal"/>
    <w:link w:val="CharStyle11"/>
    <w:pPr>
      <w:widowControl w:val="0"/>
      <w:shd w:val="clear" w:color="auto" w:fill="auto"/>
      <w:spacing w:after="320"/>
      <w:ind w:left="1180"/>
    </w:pPr>
    <w:rPr>
      <w:rFonts w:ascii="Arial" w:eastAsia="Arial" w:hAnsi="Arial" w:cs="Arial"/>
      <w:b w:val="0"/>
      <w:bCs w:val="0"/>
      <w:i/>
      <w:iCs/>
      <w:smallCaps w:val="0"/>
      <w:strike w:val="0"/>
      <w:color w:val="3B3081"/>
      <w:sz w:val="22"/>
      <w:szCs w:val="22"/>
      <w:u w:val="singl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