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3707765</wp:posOffset>
            </wp:positionH>
            <wp:positionV relativeFrom="paragraph">
              <wp:posOffset>12700</wp:posOffset>
            </wp:positionV>
            <wp:extent cx="560705" cy="658495"/>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60705" cy="658495"/>
                    </a:xfrm>
                    <a:prstGeom prst="rect"/>
                  </pic:spPr>
                </pic:pic>
              </a:graphicData>
            </a:graphic>
          </wp:anchor>
        </w:drawing>
      </w:r>
    </w:p>
    <w:p>
      <w:pPr>
        <w:pStyle w:val="Style2"/>
        <w:keepNext w:val="0"/>
        <w:keepLines w:val="0"/>
        <w:widowControl w:val="0"/>
        <w:shd w:val="clear" w:color="auto" w:fill="auto"/>
        <w:bidi w:val="0"/>
        <w:spacing w:before="0" w:after="4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r>
    </w:p>
    <w:p>
      <w:pPr>
        <w:pStyle w:val="Style2"/>
        <w:keepNext w:val="0"/>
        <w:keepLines w:val="0"/>
        <w:widowControl w:val="0"/>
        <w:shd w:val="clear" w:color="auto" w:fill="auto"/>
        <w:bidi w:val="0"/>
        <w:spacing w:before="0" w:after="180" w:line="240" w:lineRule="auto"/>
        <w:ind w:left="0" w:right="0" w:firstLine="0"/>
        <w:jc w:val="center"/>
        <w:rPr>
          <w:sz w:val="17"/>
          <w:szCs w:val="17"/>
        </w:rPr>
      </w:pPr>
      <w:r>
        <w:rPr>
          <w:b/>
          <w:bCs/>
          <w:spacing w:val="0"/>
          <w:w w:val="100"/>
          <w:position w:val="0"/>
          <w:sz w:val="17"/>
          <w:szCs w:val="17"/>
          <w:shd w:val="clear" w:color="auto" w:fill="auto"/>
          <w:lang w:val="ru-RU" w:eastAsia="ru-RU" w:bidi="ru-RU"/>
        </w:rPr>
        <w:t>АНТИМОНОПОЛЬНАЯ СЛУЖБА</w:t>
      </w:r>
    </w:p>
    <w:p>
      <w:pPr>
        <w:pStyle w:val="Style8"/>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br/>
        <w:t>Федеральной антимонопольной</w:t>
        <w:br/>
        <w:t>службы</w:t>
        <w:br/>
        <w:t>по Республике Коми</w:t>
      </w:r>
    </w:p>
    <w:p>
      <w:pPr>
        <w:pStyle w:val="Style2"/>
        <w:keepNext w:val="0"/>
        <w:keepLines w:val="0"/>
        <w:widowControl w:val="0"/>
        <w:shd w:val="clear" w:color="auto" w:fill="auto"/>
        <w:bidi w:val="0"/>
        <w:spacing w:before="0" w:after="4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ФЕДЕРАЛЬНОЙ</w:t>
      </w:r>
    </w:p>
    <w:p>
      <w:pPr>
        <w:pStyle w:val="Style2"/>
        <w:keepNext w:val="0"/>
        <w:keepLines w:val="0"/>
        <w:widowControl w:val="0"/>
        <w:shd w:val="clear" w:color="auto" w:fill="auto"/>
        <w:bidi w:val="0"/>
        <w:spacing w:before="0" w:after="180" w:line="240" w:lineRule="auto"/>
        <w:ind w:left="0" w:right="0" w:firstLine="0"/>
        <w:jc w:val="center"/>
        <w:rPr>
          <w:sz w:val="17"/>
          <w:szCs w:val="17"/>
        </w:rPr>
      </w:pPr>
      <w:r>
        <w:rPr>
          <w:b/>
          <w:bCs/>
          <w:spacing w:val="0"/>
          <w:w w:val="100"/>
          <w:position w:val="0"/>
          <w:sz w:val="17"/>
          <w:szCs w:val="17"/>
          <w:shd w:val="clear" w:color="auto" w:fill="auto"/>
          <w:lang w:val="ru-RU" w:eastAsia="ru-RU" w:bidi="ru-RU"/>
        </w:rPr>
        <w:t>АНТИМОНОПОЛЬНОЙ СЛУЖБА</w:t>
      </w:r>
    </w:p>
    <w:p>
      <w:pPr>
        <w:pStyle w:val="Style8"/>
        <w:keepNext w:val="0"/>
        <w:keepLines w:val="0"/>
        <w:widowControl w:val="0"/>
        <w:shd w:val="clear" w:color="auto" w:fill="auto"/>
        <w:bidi w:val="0"/>
        <w:spacing w:before="0" w:after="0" w:line="259" w:lineRule="auto"/>
        <w:ind w:left="0" w:right="0" w:firstLine="0"/>
        <w:jc w:val="center"/>
        <w:sectPr>
          <w:footerReference w:type="default" r:id="rId7"/>
          <w:footnotePr>
            <w:pos w:val="pageBottom"/>
            <w:numFmt w:val="decimal"/>
            <w:numRestart w:val="continuous"/>
          </w:footnotePr>
          <w:pgSz w:w="11900" w:h="16840"/>
          <w:pgMar w:top="433" w:right="1636" w:bottom="1318" w:left="1745" w:header="5" w:footer="3" w:gutter="0"/>
          <w:pgNumType w:start="1"/>
          <w:cols w:num="2" w:space="2635"/>
          <w:noEndnote/>
          <w:rtlGutter w:val="0"/>
          <w:docGrid w:linePitch="360"/>
        </w:sectPr>
      </w:pPr>
      <w:r>
        <w:rPr>
          <w:spacing w:val="0"/>
          <w:w w:val="100"/>
          <w:position w:val="0"/>
          <w:shd w:val="clear" w:color="auto" w:fill="auto"/>
          <w:lang w:val="ru-RU" w:eastAsia="ru-RU" w:bidi="ru-RU"/>
        </w:rPr>
        <w:t>Федеральной антимонопольной</w:t>
        <w:br/>
        <w:t>службалбн Коми Республиками</w:t>
        <w:br/>
        <w:t>ВЕСЬКОДЛАНШ</w:t>
      </w:r>
    </w:p>
    <w:p>
      <w:pPr>
        <w:pStyle w:val="Style2"/>
        <w:keepNext w:val="0"/>
        <w:keepLines w:val="0"/>
        <w:framePr w:w="4109" w:h="989" w:wrap="none" w:vAnchor="text" w:hAnchor="page" w:x="1251" w:y="212"/>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Интернациональная, 160А, г. Сыктывкар,</w:t>
        <w:br/>
        <w:t>ГСП-2, 167982, тел./факс: (8212) 21-41-29</w:t>
      </w:r>
    </w:p>
    <w:p>
      <w:pPr>
        <w:pStyle w:val="Style2"/>
        <w:keepNext w:val="0"/>
        <w:keepLines w:val="0"/>
        <w:framePr w:w="4109" w:h="989" w:wrap="none" w:vAnchor="text" w:hAnchor="page" w:x="1251" w:y="212"/>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е-таП: го I1@Й8.§оу.ги</w:t>
      </w:r>
    </w:p>
    <w:p>
      <w:pPr>
        <w:pStyle w:val="Style10"/>
        <w:keepNext/>
        <w:keepLines/>
        <w:framePr w:w="4109" w:h="989" w:wrap="none" w:vAnchor="text" w:hAnchor="page" w:x="1251" w:y="212"/>
        <w:widowControl w:val="0"/>
        <w:shd w:val="clear" w:color="auto" w:fill="auto"/>
        <w:tabs>
          <w:tab w:pos="1838" w:val="left"/>
        </w:tabs>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9.12.2024</w:t>
        <w:tab/>
      </w:r>
      <w:r>
        <w:fldChar w:fldCharType="end"/>
      </w:r>
      <w:r>
        <w:rPr>
          <w:color w:val="000000"/>
          <w:spacing w:val="0"/>
          <w:w w:val="100"/>
          <w:position w:val="0"/>
          <w:shd w:val="clear" w:color="auto" w:fill="auto"/>
          <w:lang w:val="ru-RU" w:eastAsia="ru-RU" w:bidi="ru-RU"/>
        </w:rPr>
        <w:t>№ ОД/7146/24</w:t>
      </w:r>
      <w:bookmarkEnd w:id="0"/>
    </w:p>
    <w:p>
      <w:pPr>
        <w:pStyle w:val="Style2"/>
        <w:keepNext w:val="0"/>
        <w:keepLines w:val="0"/>
        <w:framePr w:w="2246" w:h="850" w:wrap="none" w:vAnchor="text" w:hAnchor="page" w:x="7669" w:y="21"/>
        <w:widowControl w:val="0"/>
        <w:shd w:val="clear" w:color="auto" w:fill="auto"/>
        <w:bidi w:val="0"/>
        <w:spacing w:before="0" w:after="0" w:line="271" w:lineRule="auto"/>
        <w:ind w:left="0" w:right="0" w:firstLine="0"/>
        <w:jc w:val="center"/>
      </w:pPr>
      <w:r>
        <w:rPr>
          <w:spacing w:val="0"/>
          <w:w w:val="100"/>
          <w:position w:val="0"/>
          <w:shd w:val="clear" w:color="auto" w:fill="auto"/>
          <w:lang w:val="ru-RU" w:eastAsia="ru-RU" w:bidi="ru-RU"/>
        </w:rPr>
        <w:t>Интернациональной ул., 160А,</w:t>
        <w:br/>
        <w:t>Сыктывкар, ГСП-2, 167982</w:t>
        <w:br/>
        <w:t>тел./факс: (8212) 21-41-29</w:t>
        <w:br/>
        <w:t>е-таИ: Ю11@Га8.§оу.га</w:t>
      </w:r>
    </w:p>
    <w:p>
      <w:pPr>
        <w:pStyle w:val="Style8"/>
        <w:keepNext w:val="0"/>
        <w:keepLines w:val="0"/>
        <w:framePr w:w="494" w:h="250" w:wrap="none" w:vAnchor="text" w:hAnchor="page" w:x="1112" w:y="1475"/>
        <w:widowControl w:val="0"/>
        <w:shd w:val="clear" w:color="auto" w:fill="auto"/>
        <w:bidi w:val="0"/>
        <w:spacing w:before="0" w:after="0" w:line="240" w:lineRule="auto"/>
        <w:ind w:left="0" w:right="0" w:firstLine="0"/>
        <w:jc w:val="left"/>
        <w:rPr>
          <w:sz w:val="20"/>
          <w:szCs w:val="20"/>
        </w:rPr>
      </w:pPr>
      <w:r>
        <w:rPr>
          <w:b w:val="0"/>
          <w:bCs w:val="0"/>
          <w:spacing w:val="0"/>
          <w:w w:val="100"/>
          <w:position w:val="0"/>
          <w:sz w:val="20"/>
          <w:szCs w:val="20"/>
          <w:shd w:val="clear" w:color="auto" w:fill="auto"/>
          <w:lang w:val="ru-RU" w:eastAsia="ru-RU" w:bidi="ru-RU"/>
        </w:rPr>
        <w:t>На№</w:t>
      </w:r>
    </w:p>
    <w:p>
      <w:pPr>
        <w:pStyle w:val="Style13"/>
        <w:keepNext w:val="0"/>
        <w:keepLines w:val="0"/>
        <w:framePr w:w="226" w:h="216" w:wrap="none" w:vAnchor="text" w:hAnchor="page" w:x="3128" w:y="1508"/>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от</w:t>
      </w:r>
    </w:p>
    <w:p>
      <w:pPr>
        <w:pStyle w:val="Style15"/>
        <w:keepNext w:val="0"/>
        <w:keepLines w:val="0"/>
        <w:framePr w:w="4363" w:h="667" w:wrap="none" w:vAnchor="text" w:hAnchor="page" w:x="6109" w:y="120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посредством Единой информационной системы</w:t>
      </w:r>
    </w:p>
    <w:p>
      <w:pPr>
        <w:pStyle w:val="Style15"/>
        <w:keepNext w:val="0"/>
        <w:keepLines w:val="0"/>
        <w:framePr w:w="1061" w:h="370" w:wrap="none" w:vAnchor="text" w:hAnchor="page" w:x="1160" w:y="225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Решение</w:t>
      </w:r>
    </w:p>
    <w:p>
      <w:pPr>
        <w:pStyle w:val="Style15"/>
        <w:keepNext w:val="0"/>
        <w:keepLines w:val="0"/>
        <w:framePr w:w="4546" w:h="677" w:wrap="none" w:vAnchor="text" w:hAnchor="page" w:x="6114" w:y="207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Общество с ограниченной ответственностью «БРОКЕР ГРУПП»</w:t>
      </w:r>
    </w:p>
    <w:p>
      <w:pPr>
        <w:pStyle w:val="Style15"/>
        <w:keepNext w:val="0"/>
        <w:keepLines w:val="0"/>
        <w:framePr w:w="4877" w:h="2472" w:wrap="none" w:vAnchor="text" w:hAnchor="page" w:x="6104" w:y="2967"/>
        <w:widowControl w:val="0"/>
        <w:shd w:val="clear" w:color="auto" w:fill="auto"/>
        <w:bidi w:val="0"/>
        <w:spacing w:before="0" w:after="260" w:line="240" w:lineRule="auto"/>
        <w:ind w:left="0" w:right="0" w:firstLine="0"/>
        <w:jc w:val="left"/>
      </w:pPr>
      <w:r>
        <w:rPr>
          <w:b/>
          <w:bCs/>
          <w:color w:val="000000"/>
          <w:spacing w:val="0"/>
          <w:w w:val="100"/>
          <w:position w:val="0"/>
          <w:shd w:val="clear" w:color="auto" w:fill="auto"/>
          <w:lang w:val="ru-RU" w:eastAsia="ru-RU" w:bidi="ru-RU"/>
        </w:rPr>
        <w:t>Управление жилищно-коммунального хозяйства администрации муниципального района «Сосногорск»</w:t>
      </w:r>
    </w:p>
    <w:p>
      <w:pPr>
        <w:pStyle w:val="Style15"/>
        <w:keepNext w:val="0"/>
        <w:keepLines w:val="0"/>
        <w:framePr w:w="4877" w:h="2472" w:wrap="none" w:vAnchor="text" w:hAnchor="page" w:x="6104" w:y="2967"/>
        <w:widowControl w:val="0"/>
        <w:shd w:val="clear" w:color="auto" w:fill="auto"/>
        <w:bidi w:val="0"/>
        <w:spacing w:before="0" w:after="260" w:line="240" w:lineRule="auto"/>
        <w:ind w:left="0" w:right="0" w:firstLine="0"/>
        <w:jc w:val="left"/>
      </w:pPr>
      <w:r>
        <w:rPr>
          <w:b/>
          <w:bCs/>
          <w:color w:val="000000"/>
          <w:spacing w:val="0"/>
          <w:w w:val="100"/>
          <w:position w:val="0"/>
          <w:shd w:val="clear" w:color="auto" w:fill="auto"/>
          <w:lang w:val="ru-RU" w:eastAsia="ru-RU" w:bidi="ru-RU"/>
        </w:rPr>
        <w:t>Финансовое управление администрации муниципального района «Сосногорск»</w:t>
      </w:r>
    </w:p>
    <w:p>
      <w:pPr>
        <w:pStyle w:val="Style15"/>
        <w:keepNext w:val="0"/>
        <w:keepLines w:val="0"/>
        <w:framePr w:w="4877" w:h="2472" w:wrap="none" w:vAnchor="text" w:hAnchor="page" w:x="6104" w:y="2967"/>
        <w:widowControl w:val="0"/>
        <w:shd w:val="clear" w:color="auto" w:fill="auto"/>
        <w:bidi w:val="0"/>
        <w:spacing w:before="0" w:after="260" w:line="240" w:lineRule="auto"/>
        <w:ind w:left="0" w:right="0" w:firstLine="0"/>
        <w:jc w:val="left"/>
      </w:pPr>
      <w:r>
        <w:rPr>
          <w:b/>
          <w:bCs/>
          <w:color w:val="000000"/>
          <w:spacing w:val="0"/>
          <w:w w:val="100"/>
          <w:position w:val="0"/>
          <w:shd w:val="clear" w:color="auto" w:fill="auto"/>
          <w:lang w:val="ru-RU" w:eastAsia="ru-RU" w:bidi="ru-RU"/>
        </w:rPr>
        <w:t>Акционерное общество «Сбербанк-АСТ»</w:t>
      </w:r>
    </w:p>
    <w:p>
      <w:pPr>
        <w:pStyle w:val="Style15"/>
        <w:keepNext w:val="0"/>
        <w:keepLines w:val="0"/>
        <w:framePr w:w="3835" w:h="677" w:wrap="none" w:vAnchor="text" w:hAnchor="page" w:x="4318" w:y="6049"/>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br/>
        <w:t>по жалобе № 011/06/48-1130/2024</w:t>
      </w:r>
    </w:p>
    <w:p>
      <w:pPr>
        <w:pStyle w:val="Style15"/>
        <w:keepNext w:val="0"/>
        <w:keepLines w:val="0"/>
        <w:framePr w:w="2357" w:h="370" w:wrap="none" w:vAnchor="text" w:hAnchor="page" w:x="1150" w:y="697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06 декабря 2024 года</w:t>
      </w:r>
    </w:p>
    <w:p>
      <w:pPr>
        <w:pStyle w:val="Style15"/>
        <w:keepNext w:val="0"/>
        <w:keepLines w:val="0"/>
        <w:framePr w:w="1498" w:h="370" w:wrap="none" w:vAnchor="text" w:hAnchor="page" w:x="9824" w:y="697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г. Сыктывкар</w:t>
      </w:r>
    </w:p>
    <w:p>
      <w:pPr>
        <w:pStyle w:val="Style15"/>
        <w:keepNext w:val="0"/>
        <w:keepLines w:val="0"/>
        <w:framePr w:w="10258" w:h="4258" w:wrap="none" w:vAnchor="text" w:hAnchor="page" w:x="1102" w:y="7868"/>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Коми по контролю в сфере закупок в составе: Дейберт О.И. - заместителя руководителя управления - начальника отдела контроля закупок, председателя Комиссии; Овериной А.В. - главного специалиста - эксперта управления, члена Комиссии; Мокиенко А.А. - специалиста - эксперта управления, члена Комиссии (далее - Комиссия Коми УФАС России), рассмотрев жалобу общества с ограниченной ответственностью «БРОКЕР ГРУПП» (далее - ООО «БРОКЕР ГРУПП») от 01.12.2024 (вх. от 02.12.2024 № 11492/24) на действие заказчика - Управление жилищно-коммунального хозяйства администрации муниципального района «Сосногорск» (далее - УЖКХ АМР «Сосногорск») при осуществлении закупки способом открытого конкурса в электронной форме «Оказание услуг по техническому обслуживанию, санитарному содержанию и текущему ремонту объектов внешнего благоустройства: дорог, улиц, проездов, водопропускных труб на территории городского поселения «Сосногорск»: г. Сосногорск, пст. Поляна, с. Усть-Ухта, д. Пожня», извещение № 0107300002024000226,</w:t>
      </w:r>
    </w:p>
    <w:p>
      <w:pPr>
        <w:widowControl w:val="0"/>
        <w:spacing w:line="360" w:lineRule="exact"/>
      </w:pPr>
      <w:r>
        <w:drawing>
          <wp:anchor distT="0" distB="0" distL="0" distR="0" simplePos="0" relativeHeight="62914692" behindDoc="1" locked="0" layoutInCell="1" allowOverlap="1">
            <wp:simplePos x="0" y="0"/>
            <wp:positionH relativeFrom="page">
              <wp:posOffset>717550</wp:posOffset>
            </wp:positionH>
            <wp:positionV relativeFrom="paragraph">
              <wp:posOffset>8040370</wp:posOffset>
            </wp:positionV>
            <wp:extent cx="1517650" cy="286385"/>
            <wp:wrapNone/>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8"/>
                    <a:stretch/>
                  </pic:blipFill>
                  <pic:spPr>
                    <a:xfrm>
                      <a:ext cx="1517650" cy="28638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13" w:line="1" w:lineRule="exact"/>
      </w:pPr>
    </w:p>
    <w:p>
      <w:pPr>
        <w:widowControl w:val="0"/>
        <w:spacing w:line="1" w:lineRule="exact"/>
        <w:sectPr>
          <w:footnotePr>
            <w:pos w:val="pageBottom"/>
            <w:numFmt w:val="decimal"/>
            <w:numRestart w:val="continuous"/>
          </w:footnotePr>
          <w:type w:val="continuous"/>
          <w:pgSz w:w="11900" w:h="16840"/>
          <w:pgMar w:top="433" w:right="541" w:bottom="1216" w:left="1101" w:header="0" w:footer="3" w:gutter="0"/>
          <w:cols w:space="720"/>
          <w:noEndnote/>
          <w:rtlGutter w:val="0"/>
          <w:docGrid w:linePitch="360"/>
        </w:sectPr>
      </w:pP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в рассмотрении жалобы посредством веб-видеоконференции: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-Гоголевой В.В., Слинкиной М.П., представителей УЖКХ АМР «Сосногорск» по распоряжению администрации МР «Сосногорск» от 25.02.2022, доверенности от 30.08.2024 № 3626,</w:t>
      </w:r>
    </w:p>
    <w:p>
      <w:pPr>
        <w:pStyle w:val="Style15"/>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Управление Федеральной антимонопольной службы по Республике Коми с использованием Единой информационной системы в сфере закупок поступила жалоба ООО «БРОКЕР ГРУПП» от 01.12.2024 (вх. от 02.12.2024 № 11492/24) на действие заказчика - УЖКХ АМР «Сосногорск» при осуществлении закупки способом открытого конкурса в электронной форме «Оказание услуг по техническому обслуживанию, санитарному содержанию и текущему ремонту объектов внешнего благоустройства: дорог, улиц, проездов, водопропускных труб на территории городского поселения «Сосногорск»: г. Сосногорск, пст. Поляна, с. Усть-Ухта, д. Пожня», извещение № 0107300002024000226 (далее - закупка, открытый конкурс в электронной форме, жалоба).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Жалоба подготовлена в соответствии с требованиями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подана в срок, установленный пунктом 1 части 2 статьи 105 Закона о контрактной системе.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связи с чем жалоба принята в Коми УФАС России к рассмотрению.</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ООО «БРОКЕР ГРУПП», УЖКХ АМР «Сосногорск», Финансовое управление администрации муниципального района «Сосногорск», акционерное общество «СбербанкАСТ» (далее - оператор электронной площадки) о времени и месте рассмотрения жалобы и проведения внеплановой проверки надлежащим образом извещены.</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2 статьи 106 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w:t>
        <w:softHyphen/>
        <w:t>связи при наличии в контрольном органе в сфере закупок технической возможности осуществления видео-конференц-связи.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УЖКХ АМР «Сосногорск» в письме от 05.12.2024 № 5107 (вх. от 05.12.2024 № 11698) заявлено ходатайство о предоставлении возможности участия в заседании по рассмотрению жалобы посредством видео-конференц-связи.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связи с наличием технической возможности осуществления видео-конференцсвязи при рассмотрении жалобы и проведения внеплановой проверки сторонам обеспечена возможность участия в рассмотрении жалобы с использованием систем видео</w:t>
        <w:softHyphen/>
        <w:t>конференцсвязи.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ООО «БРОКЕР ГРУПП», УЖКХ АМР «Сосногорск», Финансовое управление администрации муниципального района «Сосногорск», оператор электронной площадки о формате (веб-видеоконференция) рассмотрения жалобы надлежащим образом извещены.</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 учетом законодательно установленных сроков рассмотрения жалобы отсутствие представителей ООО «БРОКЕР ГРУПП», Финансового управления администрации муниципального района «Сосногорск», оператора электронной площадки не препятствует рассмотрению жалобы и проведению внеплановой проверки.</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ООО «БРОКЕР ГРУПП» обжалованы действия заказчика - УЖКХ АМР «Сосногорск» при определении положений извещения о закупке, касающихся порядка оценки заявок на участие в закупке, в части определения требований к документу по показателю оценки «наличие у участников закупки опыта работы, связанного с предметом контракта»: «последний акт приемки выполненных работ, составленный при исполнении договора, подтверждающего квалификацию участника закупки, должен быть подписан не ранее чем за 3 года до даты окончания срока подачи заявок», что, согласно доводов жалобы, не соответствует требованиям подпункта г) пункта 28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РФ от 31.12.2021 № 2604).</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УЖКХ АМР «Сосногорск» в письме от 05.12.2024 № 5106 (вх. от 05.12.2024 № 11697-ЭП/24) заявлены возражения относительно позиции заявителя.</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Финансовым управлением администрации муниципального района «Сосногорск» в письме от 03.12.2024 № 419 (вх. от 03.12.2024 № 11579-ЭП/24, № 11590-ЭП/21) представлены письменные пояснения и копии документов.</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Оператором электронной площадки письмом вх. от 02.12.2024 № 11568-ЭП/24 в материалы жалобы представлена заявка на участие в закупке.</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Коми УФАС России в ходе проведения внеплановой проверки осуществления закупки в соответствии с пунктом 1 части 15 статьи 99 Закона о контрактной системе, изучив материалы жалобы, ознакомившись с извещением о проведении открытого конкурса в электронной форме, электронными документами, содержащимися при указанном извещении, заслушав представителей заказчика, пришла к нижеследующим выводам.</w:t>
      </w:r>
    </w:p>
    <w:p>
      <w:pPr>
        <w:pStyle w:val="Style15"/>
        <w:keepNext w:val="0"/>
        <w:keepLines w:val="0"/>
        <w:widowControl w:val="0"/>
        <w:shd w:val="clear" w:color="auto" w:fill="auto"/>
        <w:bidi w:val="0"/>
        <w:spacing w:before="0" w:after="0" w:line="240" w:lineRule="auto"/>
        <w:ind w:left="0" w:right="0" w:firstLine="700"/>
        <w:jc w:val="both"/>
      </w:pPr>
      <w:r>
        <w:rPr>
          <w:b/>
          <w:bCs/>
          <w:color w:val="000000"/>
          <w:spacing w:val="0"/>
          <w:w w:val="100"/>
          <w:position w:val="0"/>
          <w:shd w:val="clear" w:color="auto" w:fill="auto"/>
          <w:lang w:val="ru-RU" w:eastAsia="ru-RU" w:bidi="ru-RU"/>
        </w:rPr>
        <w:t xml:space="preserve">1. </w:t>
      </w:r>
      <w:r>
        <w:rPr>
          <w:color w:val="000000"/>
          <w:spacing w:val="0"/>
          <w:w w:val="100"/>
          <w:position w:val="0"/>
          <w:shd w:val="clear" w:color="auto" w:fill="auto"/>
          <w:lang w:val="ru-RU" w:eastAsia="ru-RU" w:bidi="ru-RU"/>
        </w:rPr>
        <w:t>Заказчиком осуществления закупки явилось УЖКХ АМР «Сосногорск», уполномоченным органом - Финансовое управление администрации муниципального района «Сосногорск».</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Объект закупки: «Оказание услуг по техническому обслуживанию, санитарному содержанию и текущему ремонту объектов внешнего благоустройства: дорог, улиц, проездов, водопропускных труб на территории городского поселения «Сосногорск»: г. Сосногорск, пст. Поляна, с. Усть-Ухта, д. Пожня».</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Начальная (максимальная) цена контракта: 4 743 221,75 руб.</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Извещение о проведении открытого конкурса в электронной форме размещено на официальном сайте Единой информационной системы в сфере закупок \у\у\у./акирк1.доу.ги (далее - ЕИС) 13.11.2024.</w:t>
      </w:r>
    </w:p>
    <w:p>
      <w:pPr>
        <w:pStyle w:val="Style15"/>
        <w:keepNext w:val="0"/>
        <w:keepLines w:val="0"/>
        <w:widowControl w:val="0"/>
        <w:shd w:val="clear" w:color="auto" w:fill="auto"/>
        <w:bidi w:val="0"/>
        <w:spacing w:before="0" w:after="0" w:line="240" w:lineRule="auto"/>
        <w:ind w:left="0" w:right="0" w:firstLine="700"/>
        <w:jc w:val="both"/>
      </w:pPr>
      <w:r>
        <w:rPr>
          <w:b/>
          <w:bCs/>
          <w:color w:val="000000"/>
          <w:spacing w:val="0"/>
          <w:w w:val="100"/>
          <w:position w:val="0"/>
          <w:shd w:val="clear" w:color="auto" w:fill="auto"/>
          <w:lang w:val="ru-RU" w:eastAsia="ru-RU" w:bidi="ru-RU"/>
        </w:rPr>
        <w:t xml:space="preserve">2. </w:t>
      </w:r>
      <w:r>
        <w:rPr>
          <w:color w:val="000000"/>
          <w:spacing w:val="0"/>
          <w:w w:val="100"/>
          <w:position w:val="0"/>
          <w:shd w:val="clear" w:color="auto" w:fill="auto"/>
          <w:lang w:val="ru-RU" w:eastAsia="ru-RU" w:bidi="ru-RU"/>
        </w:rPr>
        <w:t>В силу частей 1, 2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Одним из конкурентных способов определения поставщиков (подрядчиков, исполнителей) является, согласно пункту 1 части 2 статьи 24 Закона о контрактной системе, в том числе конкурс (открытый конкурс в электронной форме).</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Частью 1 статьи 48 Закона о контрактной системе установлено, что электронный конкурс начинается с размещения в единой информационной системе извещения об осуществлении закупки.</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пункту 11 части 1 статьи 42 Закона о контрактной системе извещение о закупке должно содержать, наряду с прочим, критерии оценки заявок на участие в конкурсах, величины значимости этих критериев в соответствии с настоящим Федеральным законом.</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 пункту 4 части 1, частям 4, 8 статьи 32 Закона о контрактной системе для оценки заявок участников закупки заказчик использует критерии, в том числе,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Положение об оценке заявок на участие в закупке товаров, работ, услуг для обеспечения государственных и муниципальных нужд утверждено постановлением Правительства РФ от 31.12.2021 № 2604 (далее - Положение об оценке заявок).</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 пункту 3 Положения об оценке заявок для оценки заявок в соответствии с настоящим Положением применяются следующие критерии оценки:</w:t>
      </w:r>
    </w:p>
    <w:p>
      <w:pPr>
        <w:pStyle w:val="Style15"/>
        <w:keepNext w:val="0"/>
        <w:keepLines w:val="0"/>
        <w:widowControl w:val="0"/>
        <w:numPr>
          <w:ilvl w:val="0"/>
          <w:numId w:val="1"/>
        </w:numPr>
        <w:shd w:val="clear" w:color="auto" w:fill="auto"/>
        <w:tabs>
          <w:tab w:pos="102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цена контракта, сумма цен единиц товара, работы, услуги;</w:t>
      </w:r>
    </w:p>
    <w:p>
      <w:pPr>
        <w:pStyle w:val="Style15"/>
        <w:keepNext w:val="0"/>
        <w:keepLines w:val="0"/>
        <w:widowControl w:val="0"/>
        <w:numPr>
          <w:ilvl w:val="0"/>
          <w:numId w:val="1"/>
        </w:numPr>
        <w:shd w:val="clear" w:color="auto" w:fill="auto"/>
        <w:tabs>
          <w:tab w:pos="104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расходы;</w:t>
      </w:r>
    </w:p>
    <w:p>
      <w:pPr>
        <w:pStyle w:val="Style15"/>
        <w:keepNext w:val="0"/>
        <w:keepLines w:val="0"/>
        <w:widowControl w:val="0"/>
        <w:numPr>
          <w:ilvl w:val="0"/>
          <w:numId w:val="1"/>
        </w:numPr>
        <w:shd w:val="clear" w:color="auto" w:fill="auto"/>
        <w:tabs>
          <w:tab w:pos="103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характеристики объекта закупки;</w:t>
      </w:r>
    </w:p>
    <w:p>
      <w:pPr>
        <w:pStyle w:val="Style15"/>
        <w:keepNext w:val="0"/>
        <w:keepLines w:val="0"/>
        <w:widowControl w:val="0"/>
        <w:numPr>
          <w:ilvl w:val="0"/>
          <w:numId w:val="1"/>
        </w:numPr>
        <w:shd w:val="clear" w:color="auto" w:fill="auto"/>
        <w:tabs>
          <w:tab w:pos="102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квалификация участников закупки.</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подпунктом е) пункта 5 Положения об оценке заявок при проведении конкурсов документ, предусмотренный приложением № 1 к настоящему Положению (Порядок рассмотрения и оценки заявок на участие в конкурсе) формируется в соответствии с требованиями, в том числе: в графе 3 указываются отдельные положения о применении соответствующих критерия оценки, показателя оценки, а также детализирующего показателя, в том числе положения, предусмотренные пунктами 27 - 35 настоящего Положения.</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подпункту в) пункта 24 Положения об оценке заявок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 в том числе, показатель «наличие у участников закупки опыта поставки товара, выполнения работы, оказания услуги, связанного с предметом контракта».</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подпунктами «а», «в», «г» пункта 28 Положения об оценке заявок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а) применяются один или несколько из следующих детализирующих показателей оценки: общая цена исполненных участником закупки договоров; общее количество исполненных участником закупки договоров; наибольшая цена одного из исполненных участником закупки договоров;</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документом, предусмотренным приложением № 1 к настоящему Положению:</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 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может быть установлено положение о принятии к оценке исключительно контракта, заключенного и исполненного в соответствии с Федеральным законом, и договора, заключенного и исполненного в соответствии с Федеральным законом «О закупках товаров, работ, услуг отдельными видами юридических лиц».</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Порядок рассмотрения и оценки заявок на участие в конкурсе размещен в составе извещения о закупке в виде отдельного электронного документа (далее - Порядок).</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Согласно разделу II «Критерии и показатели оценки заявок на участие в закупке» Порядка для оценки заявок на участие в закупке установлено два критерия: «цена контракта, сумма цен единиц товара, работы, услуги» 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w:t>
      </w:r>
      <w:r>
        <w:rPr>
          <w:color w:val="000000"/>
          <w:spacing w:val="0"/>
          <w:w w:val="100"/>
          <w:position w:val="0"/>
          <w:shd w:val="clear" w:color="auto" w:fill="auto"/>
          <w:lang w:val="ru-RU" w:eastAsia="ru-RU" w:bidi="ru-RU"/>
        </w:rPr>
        <w:t>работы, связанного с предметом контракта, и деловой репутации, специалистов и иных работников определенного уровня квалификации».</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Разделом III Порядка определены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II Порядка.</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подпунктах 2.1.1 «показатель оценки, детализирующий показатель оценки «общая цена исполненных участником закупки договоров» и 2.1.2 «показатель оценки, детализирующий показатель оценки «общее количество исполненных участником закупки договоров» пункта 2.1 «показатель оценки «наличие у участников закупки опыта работы, связанного с предметом контракта» установлено, в том числе:</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«-Требования к документам для оценки детализирующего показателя: «Наличие исполненного договора (договоров), предусматривающего выполнение работ по содержанию автомобильных дорог».</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-Перечень документов, подтверждающих наличие у участника закупки опыта выполнения работы: исполненный договор (договоры), акт (акты) приемки выполненных работ, составленные при исполнении такого договора (договоров).</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Последний акт приемки выполненных работ, составленный при исполнении договора, подтверждающего квалификацию участника закупки, должен быть подписан не ранее чем за 3 года до даты окончания срока подачи заявок».</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Довод заказчика, приведенный в письменных пояснениях от 05.12.2024 № 5106 (вх. от 05.12.2024 № 11697-ЭП/27), озвученный представителями заказчика в ходе рассмотрения жалобы, относительно того, что требование о подписанных актах о выполненных работах, подтверждающих опыт участников, сроком «не ранее 3 лет», не противоречит сроку «не ранее 5 лет», указанному в постановлении Правительства РФ от 31.12.2021 № 2604, не может быть принят по следующим основаниям.</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части 9 статьи 32 Закона о контрактной системе не допускается использование заказчиком не предусмотренных настоящей статьей критериев или их величин значимости, установленных частью 6 настоящей статьи и в соответствии с частью 8 настоящей статьи.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В соответствии с подпунктом е) пункта 5 Положения об оценке заявок при проведении конкурсов документ, предусмотренный приложением № 1 к настоящему Положению (Порядок рассмотрения и оценки заявок на участие в конкурсе) формируется в соответствии с требованиями, в том числе: в графе 3 указываются отдельные положения о применении соответствующих критерия оценки, показателя оценки, а также детализирующего показателя, </w:t>
      </w:r>
      <w:r>
        <w:rPr>
          <w:i/>
          <w:iCs/>
          <w:color w:val="000000"/>
          <w:spacing w:val="0"/>
          <w:w w:val="100"/>
          <w:position w:val="0"/>
          <w:shd w:val="clear" w:color="auto" w:fill="auto"/>
          <w:lang w:val="ru-RU" w:eastAsia="ru-RU" w:bidi="ru-RU"/>
        </w:rPr>
        <w:t>в том числе положения, предусмотренные</w:t>
      </w:r>
      <w:r>
        <w:rPr>
          <w:color w:val="000000"/>
          <w:spacing w:val="0"/>
          <w:w w:val="100"/>
          <w:position w:val="0"/>
          <w:shd w:val="clear" w:color="auto" w:fill="auto"/>
          <w:lang w:val="ru-RU" w:eastAsia="ru-RU" w:bidi="ru-RU"/>
        </w:rPr>
        <w:t xml:space="preserve"> пунктами 27 - 35 настоящего Положения.</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Подпунктом «г» пункта 28 Положения об оценке заявок установлено, что в случае применения показателя оценки, предусмотренного подпунктом «в» пункта 24 Положения, последний акт, составленный при исполнении договора и предусмотренный абзацем третьим подпункта «в» пункта 28 Положения, должен быть подписан не ранее чем за 5 лет до даты окончания срока подачи заявок.</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этом по общему правилу последний акт, составленный при исполнении договора и подписанный не ранее чем за 5 лет до даты окончания срока подачи заявок, позволяет учитывать опыт исполнения участником закупки договора, исполненного в любой срок за указанный период.</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Указанные положения предусматривают возможность принятия к оценке, в том числе, долгосрочных контрактов (договоров), исполнение которых успешно завершено за последние 5 лет, обеспечивая при этом достижение предусмотренного ими результата, что соответствует целям оценки квалификации участника закупки.</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Указанные выводы согласуются с позицией Министерства финансов Российской Федерации, обозначенной в письме от 24.11.2023 № 24-06-09/113123 «Об оценке контрактов (договоров) в целях оценки заявок по показателю оценки «наличие у участников закупки опыта поставки товара, выполнения работы, оказания услуги, связанного с предметом контракта».</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Действие заказчика - УЖКХ АМР «Сосногорск» в части включения в Порядок рассмотрения и оценки заявок на участие в конкурсе требований к документу по показателю оценки «наличие у участников закупки опыта работы, связанного с предметом контракта»: «последний акт приемки выполненных работ, составленный при исполнении договора, подтверждающего квалификацию участника закупки, должен быть подписан не ранее чем за 3 года до даты окончания срока подачи заявок», не соответствует требованиям частей 8, 9 статьи 32 Закона о контрактной системе, подпункту е) пункта 5, подпункту г) пункта 28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РФ от 31.12.2021 № 2604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pPr>
        <w:pStyle w:val="Style15"/>
        <w:keepNext w:val="0"/>
        <w:keepLines w:val="0"/>
        <w:widowControl w:val="0"/>
        <w:shd w:val="clear" w:color="auto" w:fill="auto"/>
        <w:bidi w:val="0"/>
        <w:spacing w:before="0" w:after="0" w:line="240" w:lineRule="auto"/>
        <w:ind w:left="0" w:right="0" w:firstLine="700"/>
        <w:jc w:val="both"/>
      </w:pPr>
      <w:r>
        <w:rPr>
          <w:b/>
          <w:bCs/>
          <w:color w:val="000000"/>
          <w:spacing w:val="0"/>
          <w:w w:val="100"/>
          <w:position w:val="0"/>
          <w:shd w:val="clear" w:color="auto" w:fill="auto"/>
          <w:lang w:val="ru-RU" w:eastAsia="ru-RU" w:bidi="ru-RU"/>
        </w:rPr>
        <w:t xml:space="preserve">3. </w:t>
      </w:r>
      <w:r>
        <w:rPr>
          <w:color w:val="000000"/>
          <w:spacing w:val="0"/>
          <w:w w:val="100"/>
          <w:position w:val="0"/>
          <w:shd w:val="clear" w:color="auto" w:fill="auto"/>
          <w:lang w:val="ru-RU" w:eastAsia="ru-RU" w:bidi="ru-RU"/>
        </w:rPr>
        <w:t>В силу части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пунктом 2 части 22 статьи 99 настоящего Федерального закона.</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подпунктом 2 пункта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Коми УФАС России при рассмотрении вопроса относительно необходимости выдачи предписания об устранении допущенного заказчиком нарушения Закона о контрактной системе, постановления Правительства РФ от 31.12.2021 № 2604, учитывая стадию закупки, её социальную значимость, а также то, что заявитель явку на</w:t>
        <w:br w:type="page"/>
      </w:r>
      <w:r>
        <w:rPr>
          <w:color w:val="000000"/>
          <w:spacing w:val="0"/>
          <w:w w:val="100"/>
          <w:position w:val="0"/>
          <w:shd w:val="clear" w:color="auto" w:fill="auto"/>
          <w:lang w:val="ru-RU" w:eastAsia="ru-RU" w:bidi="ru-RU"/>
        </w:rPr>
        <w:t>заседание по рассмотрению жалобы не обеспечил, доказательств, свидетельствующих об ограничении количества участников закупки, в том числе невозможности участия в закупке, доказательств в подтверждение нарушения прав и интересов заявителя как потенциального участника закупки, не представил, приходит к выводу о возможности предписание не выдавать.</w:t>
      </w:r>
    </w:p>
    <w:p>
      <w:pPr>
        <w:pStyle w:val="Style15"/>
        <w:keepNext w:val="0"/>
        <w:keepLines w:val="0"/>
        <w:widowControl w:val="0"/>
        <w:shd w:val="clear" w:color="auto" w:fill="auto"/>
        <w:bidi w:val="0"/>
        <w:spacing w:before="0" w:after="260" w:line="240" w:lineRule="auto"/>
        <w:ind w:left="0" w:right="0" w:firstLine="700"/>
        <w:jc w:val="both"/>
      </w:pPr>
      <w:r>
        <w:rPr>
          <w:color w:val="000000"/>
          <w:spacing w:val="0"/>
          <w:w w:val="100"/>
          <w:position w:val="0"/>
          <w:shd w:val="clear" w:color="auto" w:fill="auto"/>
          <w:lang w:val="ru-RU" w:eastAsia="ru-RU" w:bidi="ru-RU"/>
        </w:rPr>
        <w:t>С учетом всех вышеизложенных обстоятельств, руководствуясь частью 8 статьи 106 Закона о контрактной системе, Комиссия Коми УФАС России,</w:t>
      </w:r>
    </w:p>
    <w:p>
      <w:pPr>
        <w:pStyle w:val="Style15"/>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5"/>
        <w:keepNext w:val="0"/>
        <w:keepLines w:val="0"/>
        <w:widowControl w:val="0"/>
        <w:numPr>
          <w:ilvl w:val="0"/>
          <w:numId w:val="3"/>
        </w:numPr>
        <w:shd w:val="clear" w:color="auto" w:fill="auto"/>
        <w:tabs>
          <w:tab w:pos="98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жалобу обоснованной.</w:t>
      </w:r>
    </w:p>
    <w:p>
      <w:pPr>
        <w:pStyle w:val="Style15"/>
        <w:keepNext w:val="0"/>
        <w:keepLines w:val="0"/>
        <w:widowControl w:val="0"/>
        <w:numPr>
          <w:ilvl w:val="0"/>
          <w:numId w:val="3"/>
        </w:numPr>
        <w:shd w:val="clear" w:color="auto" w:fill="auto"/>
        <w:tabs>
          <w:tab w:pos="99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действие заказчика - УЖКХ АМР «Сосногорск» в части включения в Порядок рассмотрения и оценки заявок на участие в конкурсе требований к документу по показателю оценки «наличие у участников закупки опыта работы, связанного с предметом контракта»: «последний акт приемки выполненных работ, составленный при исполнении договора, подтверждающего квалификацию участника закупки, должен быть подписан не ранее чем за 3 года до даты окончания срока подачи заявок», не соответствующим требованиям частей 8, 9 статьи 32 Закона о контрактной системе, подпункту е) пункта 5, подпункту г) пункта 28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РФ от 31.12.2021 № 2604.</w:t>
      </w:r>
    </w:p>
    <w:p>
      <w:pPr>
        <w:pStyle w:val="Style15"/>
        <w:keepNext w:val="0"/>
        <w:keepLines w:val="0"/>
        <w:widowControl w:val="0"/>
        <w:numPr>
          <w:ilvl w:val="0"/>
          <w:numId w:val="3"/>
        </w:numPr>
        <w:shd w:val="clear" w:color="auto" w:fill="auto"/>
        <w:tabs>
          <w:tab w:pos="99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 учетом стадии закупки, её социальной значимости, того, что заявитель явку на заседание по рассмотрению жалобы не обеспечил, доказательств, свидетельствующих об ограничении количества участников закупки, в том числе невозможности участия в закупке, а также доказательств в подтверждение нарушения прав и интересов заявителя как потенциального участника закупки, не представил, предписание об устранении допущенного заказчиком нарушения Закона о контрактной системе, постановления Правительства РФ от 31.12.2021 № 2604, не выдавать.</w:t>
      </w:r>
    </w:p>
    <w:p>
      <w:pPr>
        <w:pStyle w:val="Style15"/>
        <w:keepNext w:val="0"/>
        <w:keepLines w:val="0"/>
        <w:widowControl w:val="0"/>
        <w:numPr>
          <w:ilvl w:val="0"/>
          <w:numId w:val="3"/>
        </w:numPr>
        <w:shd w:val="clear" w:color="auto" w:fill="auto"/>
        <w:tabs>
          <w:tab w:pos="994" w:val="left"/>
        </w:tabs>
        <w:bidi w:val="0"/>
        <w:spacing w:before="0" w:after="260" w:line="240" w:lineRule="auto"/>
        <w:ind w:left="0" w:right="0" w:firstLine="700"/>
        <w:jc w:val="both"/>
      </w:pPr>
      <w:r>
        <w:rPr>
          <w:color w:val="000000"/>
          <w:spacing w:val="0"/>
          <w:w w:val="100"/>
          <w:position w:val="0"/>
          <w:shd w:val="clear" w:color="auto" w:fill="auto"/>
          <w:lang w:val="ru-RU" w:eastAsia="ru-RU" w:bidi="ru-RU"/>
        </w:rPr>
        <w:t>Решить вопрос о передаче уполномоченному должностному лицу Коми УФАС России материалов жалобы для рассмотрения вопроса о возбуждении административного дела в отношении должностного лица заказчика, допустившего установленное нарушение Закона о контрактной системе, постановления Правительства РФ от 31.12.2021 № 2604.</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части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pPr>
      <w:r>
        <mc:AlternateContent>
          <mc:Choice Requires="wps">
            <w:drawing>
              <wp:anchor distT="304800" distB="247015" distL="0" distR="0" simplePos="0" relativeHeight="125829379" behindDoc="0" locked="0" layoutInCell="1" allowOverlap="1">
                <wp:simplePos x="0" y="0"/>
                <wp:positionH relativeFrom="page">
                  <wp:posOffset>739140</wp:posOffset>
                </wp:positionH>
                <wp:positionV relativeFrom="paragraph">
                  <wp:posOffset>304800</wp:posOffset>
                </wp:positionV>
                <wp:extent cx="1700530" cy="225425"/>
                <wp:wrapTopAndBottom/>
                <wp:docPr id="7" name="Shape 7"/>
                <a:graphic xmlns:a="http://schemas.openxmlformats.org/drawingml/2006/main">
                  <a:graphicData uri="http://schemas.microsoft.com/office/word/2010/wordprocessingShape">
                    <wps:wsp>
                      <wps:cNvSpPr txBox="1"/>
                      <wps:spPr>
                        <a:xfrm>
                          <a:ext cx="1700530" cy="22542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8.200000000000003pt;margin-top:24.pt;width:133.90000000000001pt;height:17.75pt;z-index:-125829374;mso-wrap-distance-left:0;mso-wrap-distance-top:24.pt;mso-wrap-distance-right:0;mso-wrap-distance-bottom:19.44999999999999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433070" distB="0" distL="0" distR="1810385" simplePos="0" relativeHeight="125829381" behindDoc="0" locked="0" layoutInCell="1" allowOverlap="1">
            <wp:simplePos x="0" y="0"/>
            <wp:positionH relativeFrom="page">
              <wp:posOffset>2683510</wp:posOffset>
            </wp:positionH>
            <wp:positionV relativeFrom="paragraph">
              <wp:posOffset>433070</wp:posOffset>
            </wp:positionV>
            <wp:extent cx="292735" cy="34734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0"/>
                    <a:stretch/>
                  </pic:blipFill>
                  <pic:spPr>
                    <a:xfrm>
                      <a:ext cx="292735"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3067685</wp:posOffset>
                </wp:positionH>
                <wp:positionV relativeFrom="paragraph">
                  <wp:posOffset>497205</wp:posOffset>
                </wp:positionV>
                <wp:extent cx="1718945" cy="259080"/>
                <wp:wrapNone/>
                <wp:docPr id="11" name="Shape 11"/>
                <a:graphic xmlns:a="http://schemas.openxmlformats.org/drawingml/2006/main">
                  <a:graphicData uri="http://schemas.microsoft.com/office/word/2010/wordprocessingShape">
                    <wps:wsp>
                      <wps:cNvSpPr txBox="1"/>
                      <wps:spPr>
                        <a:xfrm>
                          <a:ext cx="1718945" cy="259080"/>
                        </a:xfrm>
                        <a:prstGeom prst="rect"/>
                        <a:noFill/>
                      </wps:spPr>
                      <wps:txbx>
                        <w:txbxContent>
                          <w:p>
                            <w:pPr>
                              <w:pStyle w:val="Style18"/>
                              <w:keepNext w:val="0"/>
                              <w:keepLines w:val="0"/>
                              <w:widowControl w:val="0"/>
                              <w:shd w:val="clear" w:color="auto" w:fill="auto"/>
                              <w:bidi w:val="0"/>
                              <w:spacing w:before="0" w:after="0" w:line="269"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37" type="#_x0000_t202" style="position:absolute;margin-left:241.55000000000001pt;margin-top:39.149999999999999pt;width:135.34999999999999pt;height:20.400000000000002pt;z-index:25165772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69"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530225" distB="12065" distL="0" distR="0" simplePos="0" relativeHeight="125829382" behindDoc="0" locked="0" layoutInCell="1" allowOverlap="1">
                <wp:simplePos x="0" y="0"/>
                <wp:positionH relativeFrom="page">
                  <wp:posOffset>6237605</wp:posOffset>
                </wp:positionH>
                <wp:positionV relativeFrom="paragraph">
                  <wp:posOffset>530225</wp:posOffset>
                </wp:positionV>
                <wp:extent cx="978535" cy="234950"/>
                <wp:wrapTopAndBottom/>
                <wp:docPr id="13" name="Shape 13"/>
                <a:graphic xmlns:a="http://schemas.openxmlformats.org/drawingml/2006/main">
                  <a:graphicData uri="http://schemas.microsoft.com/office/word/2010/wordprocessingShape">
                    <wps:wsp>
                      <wps:cNvSpPr txBox="1"/>
                      <wps:spPr>
                        <a:xfrm>
                          <a:ext cx="978535" cy="23495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О.И. Дейберт</w:t>
                            </w:r>
                          </w:p>
                        </w:txbxContent>
                      </wps:txbx>
                      <wps:bodyPr wrap="none" lIns="0" tIns="0" rIns="0" bIns="0">
                        <a:noAutoFit/>
                      </wps:bodyPr>
                    </wps:wsp>
                  </a:graphicData>
                </a:graphic>
              </wp:anchor>
            </w:drawing>
          </mc:Choice>
          <mc:Fallback>
            <w:pict>
              <v:shape id="_x0000_s1039" type="#_x0000_t202" style="position:absolute;margin-left:491.15000000000003pt;margin-top:41.75pt;width:77.049999999999997pt;height:18.5pt;z-index:-125829371;mso-wrap-distance-left:0;mso-wrap-distance-top:41.75pt;mso-wrap-distance-right:0;mso-wrap-distance-bottom:0.95000000000000007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О.И. Дейберт</w:t>
                      </w:r>
                    </w:p>
                  </w:txbxContent>
                </v:textbox>
                <w10:wrap type="topAndBottom" anchorx="page"/>
              </v:shape>
            </w:pict>
          </mc:Fallback>
        </mc:AlternateContent>
      </w:r>
    </w:p>
    <w:p>
      <w:pPr>
        <w:pStyle w:val="Style2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24"/>
        <w:keepNext w:val="0"/>
        <w:keepLines w:val="0"/>
        <w:widowControl w:val="0"/>
        <w:shd w:val="clear" w:color="auto" w:fill="auto"/>
        <w:bidi w:val="0"/>
        <w:spacing w:before="0" w:after="0" w:line="240" w:lineRule="auto"/>
        <w:ind w:left="3100"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Дейберт Ольга Ивановна</w:t>
      </w:r>
    </w:p>
    <w:p>
      <w:pPr>
        <w:pStyle w:val="Style24"/>
        <w:keepNext w:val="0"/>
        <w:keepLines w:val="0"/>
        <w:widowControl w:val="0"/>
        <w:shd w:val="clear" w:color="auto" w:fill="auto"/>
        <w:bidi w:val="0"/>
        <w:spacing w:before="0" w:after="0" w:line="240" w:lineRule="auto"/>
        <w:ind w:left="3100" w:right="0" w:firstLine="0"/>
        <w:jc w:val="left"/>
      </w:pPr>
      <w:r>
        <w:rPr>
          <w:color w:val="232323"/>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32323"/>
          <w:spacing w:val="0"/>
          <w:w w:val="100"/>
          <w:position w:val="0"/>
          <w:shd w:val="clear" w:color="auto" w:fill="auto"/>
          <w:lang w:val="ru-RU" w:eastAsia="ru-RU" w:bidi="ru-RU"/>
        </w:rPr>
        <w:t>47ВЕ956094А2653С447Е267327825004</w:t>
      </w:r>
    </w:p>
    <w:p>
      <w:pPr>
        <w:pStyle w:val="Style24"/>
        <w:keepNext w:val="0"/>
        <w:keepLines w:val="0"/>
        <w:widowControl w:val="0"/>
        <w:shd w:val="clear" w:color="auto" w:fill="auto"/>
        <w:bidi w:val="0"/>
        <w:spacing w:before="0" w:after="60" w:line="240" w:lineRule="auto"/>
        <w:ind w:left="3100" w:right="0" w:firstLine="0"/>
        <w:jc w:val="left"/>
        <w:sectPr>
          <w:headerReference w:type="default" r:id="rId12"/>
          <w:footerReference w:type="default" r:id="rId13"/>
          <w:footnotePr>
            <w:pos w:val="pageBottom"/>
            <w:numFmt w:val="decimal"/>
            <w:numRestart w:val="continuous"/>
          </w:footnotePr>
          <w:pgSz w:w="11900" w:h="16840"/>
          <w:pgMar w:top="1665" w:right="538" w:bottom="1351" w:left="1100" w:header="0" w:footer="3" w:gutter="0"/>
          <w:cols w:space="720"/>
          <w:noEndnote/>
          <w:rtlGutter w:val="0"/>
          <w:docGrid w:linePitch="360"/>
        </w:sectPr>
      </w:pPr>
      <w:r>
        <w:rPr>
          <w:spacing w:val="0"/>
          <w:w w:val="100"/>
          <w:position w:val="0"/>
          <w:shd w:val="clear" w:color="auto" w:fill="auto"/>
          <w:lang w:val="ru-RU" w:eastAsia="ru-RU" w:bidi="ru-RU"/>
        </w:rPr>
        <w:t xml:space="preserve">Действителен </w:t>
      </w:r>
      <w:r>
        <w:rPr>
          <w:color w:val="232323"/>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10.06.2024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03.09.2025</w:t>
      </w:r>
    </w:p>
    <w:p>
      <w:pPr>
        <w:widowControl w:val="0"/>
        <w:spacing w:line="199" w:lineRule="exact"/>
        <w:rPr>
          <w:sz w:val="16"/>
          <w:szCs w:val="16"/>
        </w:rPr>
      </w:pPr>
    </w:p>
    <w:p>
      <w:pPr>
        <w:widowControl w:val="0"/>
        <w:spacing w:line="1" w:lineRule="exact"/>
        <w:sectPr>
          <w:footnotePr>
            <w:pos w:val="pageBottom"/>
            <w:numFmt w:val="decimal"/>
            <w:numRestart w:val="continuous"/>
          </w:footnotePr>
          <w:pgSz w:w="11900" w:h="16840"/>
          <w:pgMar w:top="1464" w:right="537" w:bottom="1166" w:left="1140" w:header="0" w:footer="3" w:gutter="0"/>
          <w:cols w:space="720"/>
          <w:noEndnote/>
          <w:rtlGutter w:val="0"/>
          <w:docGrid w:linePitch="360"/>
        </w:sectPr>
      </w:pPr>
    </w:p>
    <w:p>
      <w:pPr>
        <w:pStyle w:val="Style15"/>
        <w:keepNext w:val="0"/>
        <w:keepLines w:val="0"/>
        <w:framePr w:w="1963" w:h="370" w:wrap="none" w:vAnchor="text" w:hAnchor="page" w:x="1160"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8"/>
        <w:keepNext w:val="0"/>
        <w:keepLines w:val="0"/>
        <w:framePr w:w="2712" w:h="403" w:wrap="none" w:vAnchor="text" w:hAnchor="page" w:x="4842" w:y="1096"/>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p>
      <w:pPr>
        <w:pStyle w:val="Style15"/>
        <w:keepNext w:val="0"/>
        <w:keepLines w:val="0"/>
        <w:framePr w:w="1565" w:h="370" w:wrap="none" w:vAnchor="text" w:hAnchor="page" w:x="9800" w:y="100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А.В. Оверина</w:t>
      </w:r>
    </w:p>
    <w:p>
      <w:pPr>
        <w:widowControl w:val="0"/>
        <w:spacing w:line="360" w:lineRule="exact"/>
      </w:pPr>
      <w:r>
        <w:drawing>
          <wp:anchor distT="0" distB="0" distL="0" distR="1813560" simplePos="0" relativeHeight="62914697" behindDoc="1" locked="0" layoutInCell="1" allowOverlap="1">
            <wp:simplePos x="0" y="0"/>
            <wp:positionH relativeFrom="page">
              <wp:posOffset>2686685</wp:posOffset>
            </wp:positionH>
            <wp:positionV relativeFrom="paragraph">
              <wp:posOffset>628015</wp:posOffset>
            </wp:positionV>
            <wp:extent cx="298450" cy="347345"/>
            <wp:wrapNone/>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4"/>
                    <a:stretch/>
                  </pic:blipFill>
                  <pic:spPr>
                    <a:xfrm>
                      <a:ext cx="298450" cy="347345"/>
                    </a:xfrm>
                    <a:prstGeom prst="rect"/>
                  </pic:spPr>
                </pic:pic>
              </a:graphicData>
            </a:graphic>
          </wp:anchor>
        </w:drawing>
      </w:r>
    </w:p>
    <w:p>
      <w:pPr>
        <w:widowControl w:val="0"/>
        <w:spacing w:line="360" w:lineRule="exact"/>
      </w:pPr>
    </w:p>
    <w:p>
      <w:pPr>
        <w:widowControl w:val="0"/>
        <w:spacing w:line="360" w:lineRule="exact"/>
      </w:pPr>
    </w:p>
    <w:p>
      <w:pPr>
        <w:widowControl w:val="0"/>
        <w:spacing w:after="455" w:line="1" w:lineRule="exact"/>
      </w:pPr>
    </w:p>
    <w:p>
      <w:pPr>
        <w:widowControl w:val="0"/>
        <w:spacing w:line="1" w:lineRule="exact"/>
        <w:sectPr>
          <w:footnotePr>
            <w:pos w:val="pageBottom"/>
            <w:numFmt w:val="decimal"/>
            <w:numRestart w:val="continuous"/>
          </w:footnotePr>
          <w:type w:val="continuous"/>
          <w:pgSz w:w="11900" w:h="16840"/>
          <w:pgMar w:top="1464" w:right="537" w:bottom="1166" w:left="1140" w:header="0" w:footer="3" w:gutter="0"/>
          <w:cols w:space="720"/>
          <w:noEndnote/>
          <w:rtlGutter w:val="0"/>
          <w:docGrid w:linePitch="360"/>
        </w:sectPr>
      </w:pPr>
    </w:p>
    <w:p>
      <w:pPr>
        <w:pStyle w:val="Style2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2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Оверина Анна Владимировна</w:t>
      </w:r>
    </w:p>
    <w:p>
      <w:pPr>
        <w:pStyle w:val="Style24"/>
        <w:keepNext w:val="0"/>
        <w:keepLines w:val="0"/>
        <w:widowControl w:val="0"/>
        <w:shd w:val="clear" w:color="auto" w:fill="auto"/>
        <w:bidi w:val="0"/>
        <w:spacing w:before="0" w:after="0" w:line="240" w:lineRule="auto"/>
        <w:ind w:left="0" w:right="0" w:firstLine="0"/>
        <w:jc w:val="both"/>
      </w:pPr>
      <w:r>
        <w:rPr>
          <w:color w:val="444444"/>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44444"/>
          <w:spacing w:val="0"/>
          <w:w w:val="100"/>
          <w:position w:val="0"/>
          <w:shd w:val="clear" w:color="auto" w:fill="auto"/>
          <w:lang w:val="ru-RU" w:eastAsia="ru-RU" w:bidi="ru-RU"/>
        </w:rPr>
        <w:t>008А5031677Е92ВА65Е043ЕАЕ506266Э7А</w:t>
      </w:r>
    </w:p>
    <w:p>
      <w:pPr>
        <w:pStyle w:val="Style24"/>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1719" w:right="4228" w:bottom="10988" w:left="4202" w:header="0" w:footer="3" w:gutter="0"/>
          <w:cols w:space="720"/>
          <w:noEndnote/>
          <w:rtlGutter w:val="0"/>
          <w:docGrid w:linePitch="360"/>
        </w:sectPr>
      </w:pPr>
      <w:r>
        <w:rPr>
          <w:spacing w:val="0"/>
          <w:w w:val="100"/>
          <w:position w:val="0"/>
          <w:shd w:val="clear" w:color="auto" w:fill="auto"/>
          <w:lang w:val="ru-RU" w:eastAsia="ru-RU" w:bidi="ru-RU"/>
        </w:rPr>
        <w:t xml:space="preserve">Действителен </w:t>
      </w:r>
      <w:r>
        <w:rPr>
          <w:color w:val="232323"/>
          <w:spacing w:val="0"/>
          <w:w w:val="100"/>
          <w:position w:val="0"/>
          <w:shd w:val="clear" w:color="auto" w:fill="auto"/>
          <w:lang w:val="ru-RU" w:eastAsia="ru-RU" w:bidi="ru-RU"/>
        </w:rPr>
        <w:t xml:space="preserve">с </w:t>
      </w:r>
      <w:r>
        <w:rPr>
          <w:color w:val="444444"/>
          <w:spacing w:val="0"/>
          <w:w w:val="100"/>
          <w:position w:val="0"/>
          <w:shd w:val="clear" w:color="auto" w:fill="auto"/>
          <w:lang w:val="ru-RU" w:eastAsia="ru-RU" w:bidi="ru-RU"/>
        </w:rPr>
        <w:t xml:space="preserve">16.07.2024 </w:t>
      </w:r>
      <w:r>
        <w:rPr>
          <w:color w:val="8C8C8C"/>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09.10.2025</w:t>
      </w:r>
    </w:p>
    <w:p>
      <w:pPr>
        <w:widowControl w:val="0"/>
        <w:spacing w:before="119" w:after="11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464" w:right="0" w:bottom="1166" w:left="0" w:header="0" w:footer="3" w:gutter="0"/>
          <w:cols w:space="720"/>
          <w:noEndnote/>
          <w:rtlGutter w:val="0"/>
          <w:docGrid w:linePitch="360"/>
        </w:sectPr>
      </w:pPr>
    </w:p>
    <w:p>
      <w:pPr>
        <w:pStyle w:val="Style18"/>
        <w:keepNext w:val="0"/>
        <w:keepLines w:val="0"/>
        <w:framePr w:w="2702" w:h="398" w:wrap="none" w:vAnchor="text" w:hAnchor="page" w:x="4846" w:y="127"/>
        <w:widowControl w:val="0"/>
        <w:shd w:val="clear" w:color="auto" w:fill="auto"/>
        <w:bidi w:val="0"/>
        <w:spacing w:before="0" w:after="0" w:line="259"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p>
      <w:pPr>
        <w:pStyle w:val="Style22"/>
        <w:keepNext w:val="0"/>
        <w:keepLines w:val="0"/>
        <w:framePr w:w="2002" w:h="163" w:wrap="none" w:vAnchor="text" w:hAnchor="page" w:x="4918" w:y="591"/>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spacing w:val="0"/>
          <w:w w:val="100"/>
          <w:position w:val="0"/>
          <w:shd w:val="clear" w:color="auto" w:fill="auto"/>
          <w:lang w:val="ru-RU" w:eastAsia="ru-RU" w:bidi="ru-RU"/>
        </w:rPr>
        <w:t>СВЕДЕНИЯ О СЕРТИФИКАТЕ ЭП</w:t>
      </w:r>
    </w:p>
    <w:p>
      <w:pPr>
        <w:pStyle w:val="Style15"/>
        <w:keepNext w:val="0"/>
        <w:keepLines w:val="0"/>
        <w:framePr w:w="1733" w:h="370" w:wrap="none" w:vAnchor="text" w:hAnchor="page" w:x="9617" w:y="38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Мокиенко</w:t>
      </w:r>
    </w:p>
    <w:p>
      <w:pPr>
        <w:widowControl w:val="0"/>
        <w:spacing w:line="360" w:lineRule="exact"/>
      </w:pPr>
      <w:r>
        <w:drawing>
          <wp:anchor distT="0" distB="0" distL="0" distR="1807210" simplePos="0" relativeHeight="62914698" behindDoc="1" locked="0" layoutInCell="1" allowOverlap="1">
            <wp:simplePos x="0" y="0"/>
            <wp:positionH relativeFrom="page">
              <wp:posOffset>2692400</wp:posOffset>
            </wp:positionH>
            <wp:positionV relativeFrom="paragraph">
              <wp:posOffset>12700</wp:posOffset>
            </wp:positionV>
            <wp:extent cx="292735" cy="347345"/>
            <wp:wrapNone/>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6"/>
                    <a:stretch/>
                  </pic:blipFill>
                  <pic:spPr>
                    <a:xfrm>
                      <a:ext cx="292735" cy="347345"/>
                    </a:xfrm>
                    <a:prstGeom prst="rect"/>
                  </pic:spPr>
                </pic:pic>
              </a:graphicData>
            </a:graphic>
          </wp:anchor>
        </w:drawing>
      </w:r>
    </w:p>
    <w:p>
      <w:pPr>
        <w:widowControl w:val="0"/>
        <w:spacing w:after="393" w:line="1" w:lineRule="exact"/>
      </w:pPr>
    </w:p>
    <w:p>
      <w:pPr>
        <w:widowControl w:val="0"/>
        <w:spacing w:line="1" w:lineRule="exact"/>
        <w:sectPr>
          <w:footnotePr>
            <w:pos w:val="pageBottom"/>
            <w:numFmt w:val="decimal"/>
            <w:numRestart w:val="continuous"/>
          </w:footnotePr>
          <w:type w:val="continuous"/>
          <w:pgSz w:w="11900" w:h="16840"/>
          <w:pgMar w:top="1464" w:right="537" w:bottom="1166" w:left="1140" w:header="0" w:footer="3" w:gutter="0"/>
          <w:cols w:space="720"/>
          <w:noEndnote/>
          <w:rtlGutter w:val="0"/>
          <w:docGrid w:linePitch="360"/>
        </w:sectPr>
      </w:pPr>
    </w:p>
    <w:p>
      <w:pPr>
        <w:pStyle w:val="Style24"/>
        <w:keepNext w:val="0"/>
        <w:keepLines w:val="0"/>
        <w:widowControl w:val="0"/>
        <w:shd w:val="clear" w:color="auto" w:fill="auto"/>
        <w:bidi w:val="0"/>
        <w:spacing w:before="0" w:after="0" w:line="240" w:lineRule="auto"/>
        <w:ind w:left="0" w:right="0" w:firstLine="0"/>
        <w:jc w:val="left"/>
      </w:pPr>
      <w:r>
        <w:rPr>
          <w:color w:val="444444"/>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Мокиенко Анастасия Александровна</w:t>
      </w:r>
    </w:p>
    <w:p>
      <w:pPr>
        <w:pStyle w:val="Style24"/>
        <w:keepNext w:val="0"/>
        <w:keepLines w:val="0"/>
        <w:widowControl w:val="0"/>
        <w:shd w:val="clear" w:color="auto" w:fill="auto"/>
        <w:bidi w:val="0"/>
        <w:spacing w:before="0" w:after="0" w:line="240" w:lineRule="auto"/>
        <w:ind w:left="0" w:right="0" w:firstLine="0"/>
        <w:jc w:val="left"/>
      </w:pPr>
      <w:r>
        <w:rPr>
          <w:color w:val="444444"/>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44444"/>
          <w:spacing w:val="0"/>
          <w:w w:val="100"/>
          <w:position w:val="0"/>
          <w:shd w:val="clear" w:color="auto" w:fill="auto"/>
          <w:lang w:val="ru-RU" w:eastAsia="ru-RU" w:bidi="ru-RU"/>
        </w:rPr>
        <w:t>5740В06С3000758Е050638ВЕ6САС58С1</w:t>
      </w:r>
    </w:p>
    <w:p>
      <w:pPr>
        <w:pStyle w:val="Style24"/>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Действителен </w:t>
      </w:r>
      <w:r>
        <w:rPr>
          <w:color w:val="444444"/>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25.12.2023 по 19.03.2025</w:t>
      </w:r>
    </w:p>
    <w:sectPr>
      <w:footnotePr>
        <w:pos w:val="pageBottom"/>
        <w:numFmt w:val="decimal"/>
        <w:numRestart w:val="continuous"/>
      </w:footnotePr>
      <w:type w:val="continuous"/>
      <w:pgSz w:w="11900" w:h="16840"/>
      <w:pgMar w:top="1719" w:right="4228" w:bottom="1719" w:left="4202"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636905" cy="100330"/>
              <wp:wrapNone/>
              <wp:docPr id="3" name="Shape 3"/>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2024-8081</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776.20000000000005pt;width:50.1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2024-8081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723900</wp:posOffset>
              </wp:positionH>
              <wp:positionV relativeFrom="page">
                <wp:posOffset>10018395</wp:posOffset>
              </wp:positionV>
              <wp:extent cx="636905" cy="100330"/>
              <wp:wrapNone/>
              <wp:docPr id="17" name="Shape 17"/>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2024-8081</w:t>
                          </w:r>
                        </w:p>
                      </w:txbxContent>
                    </wps:txbx>
                    <wps:bodyPr wrap="none" lIns="0" tIns="0" rIns="0" bIns="0">
                      <a:spAutoFit/>
                    </wps:bodyPr>
                  </wps:wsp>
                </a:graphicData>
              </a:graphic>
            </wp:anchor>
          </w:drawing>
        </mc:Choice>
        <mc:Fallback>
          <w:pict>
            <v:shape id="_x0000_s1043" type="#_x0000_t202" style="position:absolute;margin-left:57.pt;margin-top:788.85000000000002pt;width:50.149999999999999pt;height:7.9000000000000004pt;z-index:-188744058;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2024-8081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3924300</wp:posOffset>
              </wp:positionH>
              <wp:positionV relativeFrom="page">
                <wp:posOffset>758825</wp:posOffset>
              </wp:positionV>
              <wp:extent cx="67310" cy="103505"/>
              <wp:wrapNone/>
              <wp:docPr id="15" name="Shape 15"/>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309.pt;margin-top:59.75pt;width:5.2999999999999998pt;height:8.1500000000000004pt;z-index:-188744060;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6619A"/>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4)_"/>
    <w:basedOn w:val="DefaultParagraphFont"/>
    <w:link w:val="Style8"/>
    <w:rPr>
      <w:rFonts w:ascii="Times New Roman" w:eastAsia="Times New Roman" w:hAnsi="Times New Roman" w:cs="Times New Roman"/>
      <w:b/>
      <w:bCs/>
      <w:i w:val="0"/>
      <w:iCs w:val="0"/>
      <w:smallCaps w:val="0"/>
      <w:strike w:val="0"/>
      <w:color w:val="46619A"/>
      <w:sz w:val="19"/>
      <w:szCs w:val="19"/>
      <w:u w:val="none"/>
    </w:rPr>
  </w:style>
  <w:style w:type="character" w:customStyle="1" w:styleId="CharStyle11">
    <w:name w:val="Заголовок №1_"/>
    <w:basedOn w:val="DefaultParagraphFont"/>
    <w:link w:val="Style10"/>
    <w:rPr>
      <w:rFonts w:ascii="Times New Roman" w:eastAsia="Times New Roman" w:hAnsi="Times New Roman" w:cs="Times New Roman"/>
      <w:b w:val="0"/>
      <w:bCs w:val="0"/>
      <w:i w:val="0"/>
      <w:iCs w:val="0"/>
      <w:smallCaps w:val="0"/>
      <w:strike w:val="0"/>
      <w:sz w:val="30"/>
      <w:szCs w:val="30"/>
      <w:u w:val="none"/>
    </w:rPr>
  </w:style>
  <w:style w:type="character" w:customStyle="1" w:styleId="CharStyle14">
    <w:name w:val="Основной текст (6)_"/>
    <w:basedOn w:val="DefaultParagraphFont"/>
    <w:link w:val="Style13"/>
    <w:rPr>
      <w:rFonts w:ascii="Arial" w:eastAsia="Arial" w:hAnsi="Arial" w:cs="Arial"/>
      <w:b w:val="0"/>
      <w:bCs w:val="0"/>
      <w:i w:val="0"/>
      <w:iCs w:val="0"/>
      <w:smallCaps w:val="0"/>
      <w:strike w:val="0"/>
      <w:color w:val="46619A"/>
      <w:sz w:val="17"/>
      <w:szCs w:val="17"/>
      <w:u w:val="non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sz w:val="26"/>
      <w:szCs w:val="26"/>
      <w:u w:val="none"/>
    </w:rPr>
  </w:style>
  <w:style w:type="character" w:customStyle="1" w:styleId="CharStyle19">
    <w:name w:val="Подпись к картинке_"/>
    <w:basedOn w:val="DefaultParagraphFont"/>
    <w:link w:val="Style18"/>
    <w:rPr>
      <w:rFonts w:ascii="Georgia" w:eastAsia="Georgia" w:hAnsi="Georgia" w:cs="Georgia"/>
      <w:b w:val="0"/>
      <w:bCs w:val="0"/>
      <w:i w:val="0"/>
      <w:iCs w:val="0"/>
      <w:smallCaps w:val="0"/>
      <w:strike w:val="0"/>
      <w:color w:val="232323"/>
      <w:sz w:val="10"/>
      <w:szCs w:val="10"/>
      <w:u w:val="none"/>
    </w:rPr>
  </w:style>
  <w:style w:type="character" w:customStyle="1" w:styleId="CharStyle23">
    <w:name w:val="Основной текст (5)_"/>
    <w:basedOn w:val="DefaultParagraphFont"/>
    <w:link w:val="Style22"/>
    <w:rPr>
      <w:rFonts w:ascii="Georgia" w:eastAsia="Georgia" w:hAnsi="Georgia" w:cs="Georgia"/>
      <w:b w:val="0"/>
      <w:bCs w:val="0"/>
      <w:i w:val="0"/>
      <w:iCs w:val="0"/>
      <w:smallCaps w:val="0"/>
      <w:strike w:val="0"/>
      <w:color w:val="E4E4E4"/>
      <w:sz w:val="12"/>
      <w:szCs w:val="12"/>
      <w:u w:val="none"/>
    </w:rPr>
  </w:style>
  <w:style w:type="character" w:customStyle="1" w:styleId="CharStyle25">
    <w:name w:val="Основной текст (2)_"/>
    <w:basedOn w:val="DefaultParagraphFont"/>
    <w:link w:val="Style24"/>
    <w:rPr>
      <w:rFonts w:ascii="Arial" w:eastAsia="Arial" w:hAnsi="Arial" w:cs="Arial"/>
      <w:b w:val="0"/>
      <w:bCs w:val="0"/>
      <w:i w:val="0"/>
      <w:iCs w:val="0"/>
      <w:smallCaps w:val="0"/>
      <w:strike w:val="0"/>
      <w:color w:val="6A6A6A"/>
      <w:sz w:val="12"/>
      <w:szCs w:val="12"/>
      <w:u w:val="none"/>
    </w:rPr>
  </w:style>
  <w:style w:type="paragraph" w:customStyle="1" w:styleId="Style2">
    <w:name w:val="Основной текст (3)"/>
    <w:basedOn w:val="Normal"/>
    <w:link w:val="CharStyle3"/>
    <w:pPr>
      <w:widowControl w:val="0"/>
      <w:shd w:val="clear" w:color="auto" w:fill="auto"/>
      <w:spacing w:line="269" w:lineRule="auto"/>
      <w:jc w:val="center"/>
    </w:pPr>
    <w:rPr>
      <w:rFonts w:ascii="Times New Roman" w:eastAsia="Times New Roman" w:hAnsi="Times New Roman" w:cs="Times New Roman"/>
      <w:b w:val="0"/>
      <w:bCs w:val="0"/>
      <w:i w:val="0"/>
      <w:iCs w:val="0"/>
      <w:smallCaps w:val="0"/>
      <w:strike w:val="0"/>
      <w:color w:val="46619A"/>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4)"/>
    <w:basedOn w:val="Normal"/>
    <w:link w:val="CharStyle9"/>
    <w:pPr>
      <w:widowControl w:val="0"/>
      <w:shd w:val="clear" w:color="auto" w:fill="auto"/>
      <w:spacing w:line="257" w:lineRule="auto"/>
      <w:jc w:val="center"/>
    </w:pPr>
    <w:rPr>
      <w:rFonts w:ascii="Times New Roman" w:eastAsia="Times New Roman" w:hAnsi="Times New Roman" w:cs="Times New Roman"/>
      <w:b/>
      <w:bCs/>
      <w:i w:val="0"/>
      <w:iCs w:val="0"/>
      <w:smallCaps w:val="0"/>
      <w:strike w:val="0"/>
      <w:color w:val="46619A"/>
      <w:sz w:val="19"/>
      <w:szCs w:val="19"/>
      <w:u w:val="none"/>
    </w:rPr>
  </w:style>
  <w:style w:type="paragraph" w:customStyle="1" w:styleId="Style10">
    <w:name w:val="Заголовок №1"/>
    <w:basedOn w:val="Normal"/>
    <w:link w:val="CharStyle11"/>
    <w:pPr>
      <w:widowControl w:val="0"/>
      <w:shd w:val="clear" w:color="auto" w:fill="auto"/>
      <w:jc w:val="center"/>
      <w:outlineLvl w:val="0"/>
    </w:pPr>
    <w:rPr>
      <w:rFonts w:ascii="Times New Roman" w:eastAsia="Times New Roman" w:hAnsi="Times New Roman" w:cs="Times New Roman"/>
      <w:b w:val="0"/>
      <w:bCs w:val="0"/>
      <w:i w:val="0"/>
      <w:iCs w:val="0"/>
      <w:smallCaps w:val="0"/>
      <w:strike w:val="0"/>
      <w:sz w:val="30"/>
      <w:szCs w:val="30"/>
      <w:u w:val="none"/>
    </w:rPr>
  </w:style>
  <w:style w:type="paragraph" w:customStyle="1" w:styleId="Style13">
    <w:name w:val="Основной текст (6)"/>
    <w:basedOn w:val="Normal"/>
    <w:link w:val="CharStyle14"/>
    <w:pPr>
      <w:widowControl w:val="0"/>
      <w:shd w:val="clear" w:color="auto" w:fill="auto"/>
    </w:pPr>
    <w:rPr>
      <w:rFonts w:ascii="Arial" w:eastAsia="Arial" w:hAnsi="Arial" w:cs="Arial"/>
      <w:b w:val="0"/>
      <w:bCs w:val="0"/>
      <w:i w:val="0"/>
      <w:iCs w:val="0"/>
      <w:smallCaps w:val="0"/>
      <w:strike w:val="0"/>
      <w:color w:val="46619A"/>
      <w:sz w:val="17"/>
      <w:szCs w:val="17"/>
      <w:u w:val="none"/>
    </w:rPr>
  </w:style>
  <w:style w:type="paragraph" w:customStyle="1" w:styleId="Style15">
    <w:name w:val="Основной текст"/>
    <w:basedOn w:val="Normal"/>
    <w:link w:val="CharStyle16"/>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8">
    <w:name w:val="Подпись к картинке"/>
    <w:basedOn w:val="Normal"/>
    <w:link w:val="CharStyle19"/>
    <w:pPr>
      <w:widowControl w:val="0"/>
      <w:shd w:val="clear" w:color="auto" w:fill="auto"/>
      <w:spacing w:line="264" w:lineRule="auto"/>
    </w:pPr>
    <w:rPr>
      <w:rFonts w:ascii="Georgia" w:eastAsia="Georgia" w:hAnsi="Georgia" w:cs="Georgia"/>
      <w:b w:val="0"/>
      <w:bCs w:val="0"/>
      <w:i w:val="0"/>
      <w:iCs w:val="0"/>
      <w:smallCaps w:val="0"/>
      <w:strike w:val="0"/>
      <w:color w:val="232323"/>
      <w:sz w:val="10"/>
      <w:szCs w:val="10"/>
      <w:u w:val="none"/>
    </w:rPr>
  </w:style>
  <w:style w:type="paragraph" w:customStyle="1" w:styleId="Style22">
    <w:name w:val="Основной текст (5)"/>
    <w:basedOn w:val="Normal"/>
    <w:link w:val="CharStyle23"/>
    <w:pPr>
      <w:widowControl w:val="0"/>
      <w:shd w:val="clear" w:color="auto" w:fill="auto"/>
      <w:spacing w:after="100"/>
      <w:jc w:val="center"/>
    </w:pPr>
    <w:rPr>
      <w:rFonts w:ascii="Georgia" w:eastAsia="Georgia" w:hAnsi="Georgia" w:cs="Georgia"/>
      <w:b w:val="0"/>
      <w:bCs w:val="0"/>
      <w:i w:val="0"/>
      <w:iCs w:val="0"/>
      <w:smallCaps w:val="0"/>
      <w:strike w:val="0"/>
      <w:color w:val="E4E4E4"/>
      <w:sz w:val="12"/>
      <w:szCs w:val="12"/>
      <w:u w:val="none"/>
    </w:rPr>
  </w:style>
  <w:style w:type="paragraph" w:customStyle="1" w:styleId="Style24">
    <w:name w:val="Основной текст (2)"/>
    <w:basedOn w:val="Normal"/>
    <w:link w:val="CharStyle25"/>
    <w:pPr>
      <w:widowControl w:val="0"/>
      <w:shd w:val="clear" w:color="auto" w:fill="auto"/>
    </w:pPr>
    <w:rPr>
      <w:rFonts w:ascii="Arial" w:eastAsia="Arial" w:hAnsi="Arial" w:cs="Arial"/>
      <w:b w:val="0"/>
      <w:bCs w:val="0"/>
      <w:i w:val="0"/>
      <w:iCs w:val="0"/>
      <w:smallCaps w:val="0"/>
      <w:strike w:val="0"/>
      <w:color w:val="6A6A6A"/>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image" Target="media/image2.jpeg"/><Relationship Id="rId9" Type="http://schemas.openxmlformats.org/officeDocument/2006/relationships/image" Target="media/image2.jpeg" TargetMode="External"/><Relationship Id="rId10" Type="http://schemas.openxmlformats.org/officeDocument/2006/relationships/image" Target="media/image3.jpeg"/><Relationship Id="rId11" Type="http://schemas.openxmlformats.org/officeDocument/2006/relationships/image" Target="media/image3.jpeg" TargetMode="External"/><Relationship Id="rId12" Type="http://schemas.openxmlformats.org/officeDocument/2006/relationships/header" Target="header1.xml"/><Relationship Id="rId13" Type="http://schemas.openxmlformats.org/officeDocument/2006/relationships/footer" Target="footer2.xml"/><Relationship Id="rId14" Type="http://schemas.openxmlformats.org/officeDocument/2006/relationships/image" Target="media/image4.jpeg"/><Relationship Id="rId15" Type="http://schemas.openxmlformats.org/officeDocument/2006/relationships/image" Target="media/image4.jpeg" TargetMode="External"/><Relationship Id="rId16" Type="http://schemas.openxmlformats.org/officeDocument/2006/relationships/image" Target="media/image5.jpeg"/><Relationship Id="rId17" Type="http://schemas.openxmlformats.org/officeDocument/2006/relationships/image" Target="media/image5.jpeg" TargetMode="External"/></Relationships>
</file>