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4649470</wp:posOffset>
                </wp:positionH>
                <wp:positionV relativeFrom="paragraph">
                  <wp:posOffset>106680</wp:posOffset>
                </wp:positionV>
                <wp:extent cx="1868170" cy="868680"/>
                <wp:wrapSquare wrapText="bothSides"/>
                <wp:docPr id="3" name="Shape 3"/>
                <a:graphic xmlns:a="http://schemas.openxmlformats.org/drawingml/2006/main">
                  <a:graphicData uri="http://schemas.microsoft.com/office/word/2010/wordprocessingShape">
                    <wps:wsp>
                      <wps:cNvSpPr txBox="1"/>
                      <wps:spPr>
                        <a:xfrm>
                          <a:ext cx="1868170" cy="868680"/>
                        </a:xfrm>
                        <a:prstGeom prst="rect"/>
                        <a:noFill/>
                      </wps:spPr>
                      <wps:txbx>
                        <w:txbxContent>
                          <w:p>
                            <w:pPr>
                              <w:pStyle w:val="Style2"/>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10000000000002pt;margin-top:8.4000000000000004pt;width:147.09999999999999pt;height:68.400000000000006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88" w:lineRule="auto"/>
                        <w:ind w:left="0" w:right="0" w:firstLine="0"/>
                        <w:jc w:val="left"/>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59" w:lineRule="auto"/>
                        <w:ind w:left="0" w:right="0" w:firstLine="0"/>
                        <w:jc w:val="center"/>
                      </w:pPr>
                      <w:r>
                        <w:rPr>
                          <w:spacing w:val="0"/>
                          <w:w w:val="100"/>
                          <w:position w:val="0"/>
                          <w:shd w:val="clear" w:color="auto" w:fill="auto"/>
                          <w:lang w:val="ru-RU" w:eastAsia="ru-RU" w:bidi="ru-RU"/>
                        </w:rPr>
                        <w:t>ВЕСЬКОДЛАНШ</w:t>
                      </w:r>
                    </w:p>
                  </w:txbxContent>
                </v:textbox>
                <w10:wrap type="square"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4869180</wp:posOffset>
                </wp:positionH>
                <wp:positionV relativeFrom="paragraph">
                  <wp:posOffset>1134110</wp:posOffset>
                </wp:positionV>
                <wp:extent cx="1426210" cy="545465"/>
                <wp:wrapSquare wrapText="bothSides"/>
                <wp:docPr id="5" name="Shape 5"/>
                <a:graphic xmlns:a="http://schemas.openxmlformats.org/drawingml/2006/main">
                  <a:graphicData uri="http://schemas.microsoft.com/office/word/2010/wordprocessingShape">
                    <wps:wsp>
                      <wps:cNvSpPr txBox="1"/>
                      <wps:spPr>
                        <a:xfrm>
                          <a:ext cx="1426210" cy="545465"/>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wps:txbx>
                      <wps:bodyPr lIns="0" tIns="0" rIns="0" bIns="0">
                        <a:noAutoFit/>
                      </wps:bodyPr>
                    </wps:wsp>
                  </a:graphicData>
                </a:graphic>
              </wp:anchor>
            </w:drawing>
          </mc:Choice>
          <mc:Fallback>
            <w:pict>
              <v:shape id="_x0000_s1031" type="#_x0000_t202" style="position:absolute;margin-left:383.40000000000003pt;margin-top:89.299999999999997pt;width:112.3pt;height:42.950000000000003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txbxContent>
                </v:textbox>
                <w10:wrap type="square" anchorx="page"/>
              </v:shape>
            </w:pict>
          </mc:Fallback>
        </mc:AlternateContent>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r>
    </w:p>
    <w:p>
      <w:pPr>
        <w:pStyle w:val="Style2"/>
        <w:keepNext w:val="0"/>
        <w:keepLines w:val="0"/>
        <w:widowControl w:val="0"/>
        <w:shd w:val="clear" w:color="auto" w:fill="auto"/>
        <w:bidi w:val="0"/>
        <w:spacing w:before="0" w:after="0" w:line="269" w:lineRule="auto"/>
        <w:ind w:left="1280" w:right="0" w:firstLine="0"/>
        <w:jc w:val="left"/>
      </w:pPr>
      <w:r>
        <w:rPr>
          <w:spacing w:val="0"/>
          <w:w w:val="100"/>
          <w:position w:val="0"/>
          <w:shd w:val="clear" w:color="auto" w:fill="auto"/>
          <w:lang w:val="ru-RU" w:eastAsia="ru-RU" w:bidi="ru-RU"/>
        </w:rPr>
        <w:t>е-таП: 1о11@Й8.§оу.ги</w:t>
      </w:r>
    </w:p>
    <w:p>
      <w:pPr>
        <w:pStyle w:val="Style10"/>
        <w:keepNext w:val="0"/>
        <w:keepLines w:val="0"/>
        <w:widowControl w:val="0"/>
        <w:shd w:val="clear" w:color="auto" w:fill="auto"/>
        <w:tabs>
          <w:tab w:pos="1978" w:val="left"/>
        </w:tabs>
        <w:bidi w:val="0"/>
        <w:spacing w:before="0" w:after="0"/>
        <w:ind w:left="0" w:right="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6065" w:bottom="1313" w:left="1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9.12.2024</w:t>
        <w:tab/>
      </w:r>
      <w:r>
        <w:fldChar w:fldCharType="end"/>
      </w:r>
      <w:r>
        <w:rPr>
          <w:color w:val="000000"/>
          <w:spacing w:val="0"/>
          <w:w w:val="100"/>
          <w:position w:val="0"/>
          <w:shd w:val="clear" w:color="auto" w:fill="auto"/>
          <w:lang w:val="ru-RU" w:eastAsia="ru-RU" w:bidi="ru-RU"/>
        </w:rPr>
        <w:t>№ ОД/7145/24</w:t>
      </w:r>
    </w:p>
    <w:p>
      <w:pPr>
        <w:pStyle w:val="Style5"/>
        <w:keepNext w:val="0"/>
        <w:keepLines w:val="0"/>
        <w:widowControl w:val="0"/>
        <w:shd w:val="clear" w:color="auto" w:fill="auto"/>
        <w:bidi w:val="0"/>
        <w:spacing w:before="0" w:after="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423" w:right="1429" w:bottom="1313" w:left="1111" w:header="0" w:footer="3" w:gutter="0"/>
          <w:cols w:num="2" w:space="634"/>
          <w:noEndnote/>
          <w:rtlGutter w:val="0"/>
          <w:docGrid w:linePitch="360"/>
        </w:sectPr>
      </w:pPr>
      <w:r>
        <w:rPr>
          <w:color w:val="000000"/>
          <w:spacing w:val="0"/>
          <w:w w:val="100"/>
          <w:position w:val="0"/>
          <w:shd w:val="clear" w:color="auto" w:fill="auto"/>
          <w:lang w:val="ru-RU" w:eastAsia="ru-RU" w:bidi="ru-RU"/>
        </w:rPr>
        <w:t>посредством Единой информационной системы</w:t>
      </w:r>
    </w:p>
    <w:p>
      <w:pPr>
        <w:widowControl w:val="0"/>
        <w:spacing w:line="5" w:lineRule="exact"/>
        <w:rPr>
          <w:sz w:val="2"/>
          <w:szCs w:val="2"/>
        </w:rPr>
      </w:pPr>
    </w:p>
    <w:p>
      <w:pPr>
        <w:widowControl w:val="0"/>
        <w:spacing w:line="1" w:lineRule="exact"/>
        <w:sectPr>
          <w:footnotePr>
            <w:pos w:val="pageBottom"/>
            <w:numFmt w:val="decimal"/>
            <w:numRestart w:val="continuous"/>
          </w:footnotePr>
          <w:type w:val="continuous"/>
          <w:pgSz w:w="11900" w:h="16840"/>
          <w:pgMar w:top="1143" w:right="0" w:bottom="980"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3720" w:right="0" w:firstLine="0"/>
        <w:jc w:val="left"/>
      </w:pPr>
      <w:r>
        <mc:AlternateContent>
          <mc:Choice Requires="wps">
            <w:drawing>
              <wp:anchor distT="0" distB="0" distL="114300" distR="114300" simplePos="0" relativeHeight="125829383" behindDoc="0" locked="0" layoutInCell="1" allowOverlap="1">
                <wp:simplePos x="0" y="0"/>
                <wp:positionH relativeFrom="page">
                  <wp:posOffset>735965</wp:posOffset>
                </wp:positionH>
                <wp:positionV relativeFrom="paragraph">
                  <wp:posOffset>114300</wp:posOffset>
                </wp:positionV>
                <wp:extent cx="673735" cy="234950"/>
                <wp:wrapSquare wrapText="right"/>
                <wp:docPr id="13" name="Shape 13"/>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9" type="#_x0000_t202" style="position:absolute;margin-left:57.950000000000003pt;margin-top:9.pt;width:53.050000000000004pt;height:18.5pt;z-index:-12582937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rPr>
          <w:b/>
          <w:bCs/>
          <w:color w:val="000000"/>
          <w:spacing w:val="0"/>
          <w:w w:val="100"/>
          <w:position w:val="0"/>
          <w:shd w:val="clear" w:color="auto" w:fill="auto"/>
          <w:lang w:val="ru-RU" w:eastAsia="ru-RU" w:bidi="ru-RU"/>
        </w:rPr>
        <w:t>Общество с ограниченной ответственностью «БРОКЕР ГРУПП»</w:t>
      </w:r>
    </w:p>
    <w:p>
      <w:pPr>
        <w:pStyle w:val="Style13"/>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Управление жилищно-коммунального хозяйства администрации муниципального района «Сосногорск»</w:t>
      </w:r>
    </w:p>
    <w:p>
      <w:pPr>
        <w:pStyle w:val="Style13"/>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Финансовое управление администрации муниципального района «Сосногорск»</w:t>
      </w:r>
    </w:p>
    <w:p>
      <w:pPr>
        <w:pStyle w:val="Style13"/>
        <w:keepNext w:val="0"/>
        <w:keepLines w:val="0"/>
        <w:widowControl w:val="0"/>
        <w:shd w:val="clear" w:color="auto" w:fill="auto"/>
        <w:bidi w:val="0"/>
        <w:spacing w:before="0" w:after="680" w:line="240" w:lineRule="auto"/>
        <w:ind w:left="5020" w:right="0" w:firstLine="0"/>
        <w:jc w:val="left"/>
      </w:pPr>
      <w:r>
        <w:rPr>
          <w:b/>
          <w:bCs/>
          <w:color w:val="000000"/>
          <w:spacing w:val="0"/>
          <w:w w:val="100"/>
          <w:position w:val="0"/>
          <w:shd w:val="clear" w:color="auto" w:fill="auto"/>
          <w:lang w:val="ru-RU" w:eastAsia="ru-RU" w:bidi="ru-RU"/>
        </w:rPr>
        <w:t>Акционерное общество «Сбербанк-АСТ»</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011/06/48-1128/2024</w:t>
      </w:r>
    </w:p>
    <w:p>
      <w:pPr>
        <w:pStyle w:val="Style13"/>
        <w:keepNext w:val="0"/>
        <w:keepLines w:val="0"/>
        <w:widowControl w:val="0"/>
        <w:shd w:val="clear" w:color="auto" w:fill="auto"/>
        <w:bidi w:val="0"/>
        <w:spacing w:before="0" w:after="560" w:line="240" w:lineRule="auto"/>
        <w:ind w:left="0" w:right="0" w:firstLine="0"/>
        <w:jc w:val="left"/>
      </w:pPr>
      <w:r>
        <mc:AlternateContent>
          <mc:Choice Requires="wps">
            <w:drawing>
              <wp:anchor distT="0" distB="0" distL="114300" distR="114300" simplePos="0" relativeHeight="125829385" behindDoc="0" locked="0" layoutInCell="1" allowOverlap="1">
                <wp:simplePos x="0" y="0"/>
                <wp:positionH relativeFrom="page">
                  <wp:posOffset>6216015</wp:posOffset>
                </wp:positionH>
                <wp:positionV relativeFrom="paragraph">
                  <wp:posOffset>12700</wp:posOffset>
                </wp:positionV>
                <wp:extent cx="953770" cy="234950"/>
                <wp:wrapSquare wrapText="left"/>
                <wp:docPr id="15" name="Shape 15"/>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41" type="#_x0000_t202" style="position:absolute;margin-left:489.44999999999999pt;margin-top:1.pt;width:75.100000000000009pt;height:18.5pt;z-index:-125829368;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06 декабря 2024 года</w:t>
      </w:r>
    </w:p>
    <w:p>
      <w:pPr>
        <w:pStyle w:val="Style13"/>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управления, члена Комиссии; Мокиенко А.А. - специалиста - эксперта управления, члена Комиссии (далее - Комиссия Коми УФАС России), рассмотрев жалобу общества с ограниченной ответственностью «БРОКЕР ГРУПП» (далее - ООО «БРОКЕР ГРУПП») от 01.12.2024 (вх. от 02.12.2024 № 11491/24) на действие заказчика - Управление жилищно-коммунального хозяйства администрации муниципального района «Сосногорск» (далее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тротуаров, парковок, дорожных знаков, малых архитектурных форм на территории городского поселения «Сосногорск»: г. Сосногорск, пст. Поляна, с. Усть-Ухта, д. Пожня», извещение № 0107300002024000225,</w:t>
      </w:r>
    </w:p>
    <w:p>
      <w:pPr>
        <w:widowControl w:val="0"/>
        <w:spacing w:line="1" w:lineRule="exact"/>
      </w:pPr>
      <w:r>
        <w:drawing>
          <wp:anchor distT="292100" distB="0" distL="0" distR="0" simplePos="0" relativeHeight="125829387" behindDoc="0" locked="0" layoutInCell="1" allowOverlap="1">
            <wp:simplePos x="0" y="0"/>
            <wp:positionH relativeFrom="page">
              <wp:posOffset>717550</wp:posOffset>
            </wp:positionH>
            <wp:positionV relativeFrom="paragraph">
              <wp:posOffset>292100</wp:posOffset>
            </wp:positionV>
            <wp:extent cx="1517650" cy="29273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-Гоголевой В.В., Слинкиной М.П., представителей УЖКХ АМР «Сосногорск» по распоряжению администрации МР «Сосногорск» от 25.02.2022, доверенности от 30.08.2024 № 3626,</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«БРОКЕР ГРУПП» от 01.12.2024 (вх. от 02.12.2024 № 11491/24) на действие заказчика - УЖКХ АМР «Сосногорск» при осуществлении закупки способом открытого конкурса в электронной форме «Оказание услуг по техническому обслуживанию, санитарному содержанию и текущему ремонту объектов внешнего благоустройства: дорог, улиц, проездов, тротуаров, парковок, дорожных знаков, малых архитектурных форм на территории городского поселения «Сосногорск»: г. Сосногорск, пст. Поляна, с. Усть-Ухта, д. Пожня», извещение № 0107300002024000225 (далее - закупка, открытый конкурс в электронной форме, жалоба).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чем жалоба принята в Коми УФАС России к рассмотрению.</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акционерное общество «Сбербанк- АСТ» (далее - оператор электронной площадки) о времени и месте рассмотрения жалобы и проведения внеплановой проверки надлежащим образом извещены.</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УЖКХ АМР «Сосногорск» в письме от 05.12.2024 № 5107 (вх. от 05.12.2024 № 11698) заявлено ходатайство о предоставлении возможности участия в заседании по рассмотрению жалобы посредством видео-конференц-связи.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видео-конференц</w:t>
        <w:softHyphen/>
        <w:t>связи.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ООО «БРОКЕР ГРУПП», УЖКХ АМР «Сосногорск», Финансовое управление администрации муниципального района «Сосногорск», оператор электронной площадки о формате (веб-видеоконференция) рассмотрения жалобы надлежащим образом извещены.</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ООО «БРОКЕР ГРУПП», Финансового управления администрации муниципального района «Сосногорск», оператора электронной площадки не препятствует рассмотрению жалобы и проведению внеплановой проверки.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ООО «БРОКЕР ГРУПП» обжалованы действия заказчика - УЖКХ АМР «Сосногорск» при определении положений извещения о закупке, касающихся порядка оценки заявок на участие в закупке, в части определения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что, согласно доводов жалобы, не соответствует требованиям подпункта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от 31.12.2021 № 2604).</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УЖКХ АМР «Сосногорск» в письме от 05.12.2024 № 5106 (вх. от 05.12.2024 № 11697-ЭП/24) заявлены возражения относительно позиции заявителя.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Финансовым управлением администрации муниципального района «Сосногорск» в письме от 03.12.2024 № 419 (вх. от 03.12.2024 № 11579-ЭП/24, № 11590-ЭП/21) представлены письменные пояснения и копии документов.</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Оператором электронной площадки письмом вх. от 02.12.2024 № 11568-ЭП/24 в материалы жалобы представлена заявка на участие в закупке.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открытого конкурса в электронной форме, электронными документами, содержащимися при указанном извещении, заслушав представителей заказчика, пришла к нижеследующим выводам.</w:t>
      </w:r>
    </w:p>
    <w:p>
      <w:pPr>
        <w:pStyle w:val="Style13"/>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явилось УЖКХ АМР «Сосногорск», уполномоченным органом - Финансовое управление администрации муниципального района «Сосногорск».</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Объект закупки: «Оказание услуг по техническому обслуживанию, санитарному содержанию и текущему ремонту объектов внешнего благоустройства: дорог, улиц, проездов, тротуаров, парковок, дорожных знаков, малых архитектурных форм на территории городского поселения «Сосногорск»: г. Сосногорск, пст. Поляна, с. Усть-Ухта, д. Пожня».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Начальная (максимальная) цена контракта: 4 796 342,05 руб.</w:t>
      </w:r>
    </w:p>
    <w:p>
      <w:pPr>
        <w:pStyle w:val="Style19"/>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Извещение о проведении открытого конкурса в электронной форме размещено на официальном сайте Единой информационной системы в сфере закупок \у\у\у./акирк1.доу.ги (далее - ЕИС) 13.11.2024.</w:t>
      </w:r>
      <w:bookmarkEnd w:id="0"/>
    </w:p>
    <w:p>
      <w:pPr>
        <w:pStyle w:val="Style19"/>
        <w:keepNext/>
        <w:keepLines/>
        <w:widowControl w:val="0"/>
        <w:shd w:val="clear" w:color="auto" w:fill="auto"/>
        <w:bidi w:val="0"/>
        <w:spacing w:before="0" w:after="0" w:line="240" w:lineRule="auto"/>
        <w:ind w:left="0" w:right="0"/>
        <w:jc w:val="both"/>
      </w:pPr>
      <w:bookmarkStart w:id="2" w:name="bookmark2"/>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bookmarkEnd w:id="2"/>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(подрядчиком, исполнителем).</w:t>
      </w:r>
    </w:p>
    <w:p>
      <w:pPr>
        <w:pStyle w:val="Style19"/>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bookmarkEnd w:id="4"/>
    </w:p>
    <w:p>
      <w:pPr>
        <w:pStyle w:val="Style19"/>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1 части 2 статьи 24 Закона о контрактной системе, в том числе конкурс (открытый конкурс в электронной форме).</w:t>
      </w:r>
      <w:bookmarkEnd w:id="6"/>
    </w:p>
    <w:p>
      <w:pPr>
        <w:pStyle w:val="Style19"/>
        <w:keepNext/>
        <w:keepLines/>
        <w:widowControl w:val="0"/>
        <w:shd w:val="clear" w:color="auto" w:fill="auto"/>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bookmarkEnd w:id="8"/>
    </w:p>
    <w:p>
      <w:pPr>
        <w:pStyle w:val="Style19"/>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Согласно пункту 11 части 1 статьи 42 Закона о контрактной системе извещение о закупке должно содержать, наряду с прочим, критерии оценки заявок на участие в конкурсах, величины значимости этих критериев в соответствии с настоящим Федеральным законом.</w:t>
      </w:r>
      <w:bookmarkEnd w:id="10"/>
    </w:p>
    <w:p>
      <w:pPr>
        <w:pStyle w:val="Style19"/>
        <w:keepNext/>
        <w:keepLines/>
        <w:widowControl w:val="0"/>
        <w:shd w:val="clear" w:color="auto" w:fill="auto"/>
        <w:bidi w:val="0"/>
        <w:spacing w:before="0" w:after="0" w:line="240" w:lineRule="auto"/>
        <w:ind w:left="0" w:right="0"/>
        <w:jc w:val="both"/>
      </w:pPr>
      <w:bookmarkStart w:id="12" w:name="bookmark12"/>
      <w:r>
        <w:rPr>
          <w:color w:val="000000"/>
          <w:spacing w:val="0"/>
          <w:w w:val="100"/>
          <w:position w:val="0"/>
          <w:shd w:val="clear" w:color="auto" w:fill="auto"/>
          <w:lang w:val="ru-RU" w:eastAsia="ru-RU" w:bidi="ru-RU"/>
        </w:rPr>
        <w:t>По пункту 4 части 1, частям 4, 8 статьи 32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bookmarkEnd w:id="12"/>
    </w:p>
    <w:p>
      <w:pPr>
        <w:pStyle w:val="Style19"/>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bookmarkEnd w:id="14"/>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(далее - Положение об оценке заявок).</w:t>
      </w:r>
    </w:p>
    <w:p>
      <w:pPr>
        <w:pStyle w:val="Style19"/>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По пункту 3 Положения об оценке заявок для оценки заявок в соответствии с настоящим Положением применяются следующие критерии оценки:</w:t>
      </w:r>
      <w:bookmarkEnd w:id="16"/>
    </w:p>
    <w:p>
      <w:pPr>
        <w:pStyle w:val="Style19"/>
        <w:keepNext/>
        <w:keepLines/>
        <w:widowControl w:val="0"/>
        <w:numPr>
          <w:ilvl w:val="0"/>
          <w:numId w:val="1"/>
        </w:numPr>
        <w:shd w:val="clear" w:color="auto" w:fill="auto"/>
        <w:tabs>
          <w:tab w:pos="1107" w:val="left"/>
        </w:tabs>
        <w:bidi w:val="0"/>
        <w:spacing w:before="0" w:after="0" w:line="240" w:lineRule="auto"/>
        <w:ind w:left="0" w:right="0"/>
        <w:jc w:val="both"/>
      </w:pPr>
      <w:bookmarkStart w:id="18" w:name="bookmark18"/>
      <w:r>
        <w:rPr>
          <w:color w:val="000000"/>
          <w:spacing w:val="0"/>
          <w:w w:val="100"/>
          <w:position w:val="0"/>
          <w:shd w:val="clear" w:color="auto" w:fill="auto"/>
          <w:lang w:val="ru-RU" w:eastAsia="ru-RU" w:bidi="ru-RU"/>
        </w:rPr>
        <w:t>цена контракта, сумма цен единиц товара, работы, услуги;</w:t>
      </w:r>
      <w:bookmarkEnd w:id="18"/>
    </w:p>
    <w:p>
      <w:pPr>
        <w:pStyle w:val="Style19"/>
        <w:keepNext/>
        <w:keepLines/>
        <w:widowControl w:val="0"/>
        <w:numPr>
          <w:ilvl w:val="0"/>
          <w:numId w:val="1"/>
        </w:numPr>
        <w:shd w:val="clear" w:color="auto" w:fill="auto"/>
        <w:tabs>
          <w:tab w:pos="1066" w:val="left"/>
        </w:tabs>
        <w:bidi w:val="0"/>
        <w:spacing w:before="0" w:after="0" w:line="240" w:lineRule="auto"/>
        <w:ind w:left="0" w:right="0" w:firstLine="700"/>
        <w:jc w:val="both"/>
      </w:pPr>
      <w:bookmarkStart w:id="20" w:name="bookmark20"/>
      <w:r>
        <w:rPr>
          <w:color w:val="000000"/>
          <w:spacing w:val="0"/>
          <w:w w:val="100"/>
          <w:position w:val="0"/>
          <w:shd w:val="clear" w:color="auto" w:fill="auto"/>
          <w:lang w:val="ru-RU" w:eastAsia="ru-RU" w:bidi="ru-RU"/>
        </w:rPr>
        <w:t>расходы;</w:t>
      </w:r>
      <w:bookmarkEnd w:id="20"/>
    </w:p>
    <w:p>
      <w:pPr>
        <w:pStyle w:val="Style19"/>
        <w:keepNext/>
        <w:keepLines/>
        <w:widowControl w:val="0"/>
        <w:numPr>
          <w:ilvl w:val="0"/>
          <w:numId w:val="1"/>
        </w:numPr>
        <w:shd w:val="clear" w:color="auto" w:fill="auto"/>
        <w:tabs>
          <w:tab w:pos="1061" w:val="left"/>
        </w:tabs>
        <w:bidi w:val="0"/>
        <w:spacing w:before="0" w:after="0" w:line="240" w:lineRule="auto"/>
        <w:ind w:left="0" w:right="0" w:firstLine="700"/>
        <w:jc w:val="both"/>
      </w:pPr>
      <w:bookmarkStart w:id="22" w:name="bookmark22"/>
      <w:r>
        <w:rPr>
          <w:color w:val="000000"/>
          <w:spacing w:val="0"/>
          <w:w w:val="100"/>
          <w:position w:val="0"/>
          <w:shd w:val="clear" w:color="auto" w:fill="auto"/>
          <w:lang w:val="ru-RU" w:eastAsia="ru-RU" w:bidi="ru-RU"/>
        </w:rPr>
        <w:t>характеристики объекта закупки;</w:t>
      </w:r>
      <w:bookmarkEnd w:id="22"/>
    </w:p>
    <w:p>
      <w:pPr>
        <w:pStyle w:val="Style19"/>
        <w:keepNext/>
        <w:keepLines/>
        <w:widowControl w:val="0"/>
        <w:numPr>
          <w:ilvl w:val="0"/>
          <w:numId w:val="1"/>
        </w:numPr>
        <w:shd w:val="clear" w:color="auto" w:fill="auto"/>
        <w:tabs>
          <w:tab w:pos="1042" w:val="left"/>
        </w:tabs>
        <w:bidi w:val="0"/>
        <w:spacing w:before="0" w:after="0" w:line="240" w:lineRule="auto"/>
        <w:ind w:left="0" w:right="0" w:firstLine="700"/>
        <w:jc w:val="both"/>
      </w:pPr>
      <w:bookmarkStart w:id="24" w:name="bookmark24"/>
      <w:r>
        <w:rPr>
          <w:color w:val="000000"/>
          <w:spacing w:val="0"/>
          <w:w w:val="100"/>
          <w:position w:val="0"/>
          <w:shd w:val="clear" w:color="auto" w:fill="auto"/>
          <w:lang w:val="ru-RU" w:eastAsia="ru-RU" w:bidi="ru-RU"/>
        </w:rPr>
        <w:t>квалификация участников закупки.</w:t>
      </w:r>
      <w:bookmarkEnd w:id="24"/>
    </w:p>
    <w:p>
      <w:pPr>
        <w:pStyle w:val="Style19"/>
        <w:keepNext/>
        <w:keepLines/>
        <w:widowControl w:val="0"/>
        <w:shd w:val="clear" w:color="auto" w:fill="auto"/>
        <w:bidi w:val="0"/>
        <w:spacing w:before="0" w:after="0" w:line="240" w:lineRule="auto"/>
        <w:ind w:left="0" w:right="0" w:firstLine="740"/>
        <w:jc w:val="both"/>
      </w:pPr>
      <w:bookmarkStart w:id="26" w:name="bookmark26"/>
      <w:r>
        <w:rPr>
          <w:color w:val="000000"/>
          <w:spacing w:val="0"/>
          <w:w w:val="100"/>
          <w:position w:val="0"/>
          <w:shd w:val="clear" w:color="auto" w:fill="auto"/>
          <w:lang w:val="ru-RU" w:eastAsia="ru-RU" w:bidi="ru-RU"/>
        </w:rPr>
        <w:t>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в том числе положения, предусмотренные пунктами 27 - 35 настоящего Положения.</w:t>
      </w:r>
      <w:bookmarkEnd w:id="26"/>
    </w:p>
    <w:p>
      <w:pPr>
        <w:pStyle w:val="Style19"/>
        <w:keepNext/>
        <w:keepLines/>
        <w:widowControl w:val="0"/>
        <w:shd w:val="clear" w:color="auto" w:fill="auto"/>
        <w:bidi w:val="0"/>
        <w:spacing w:before="0" w:after="0" w:line="240" w:lineRule="auto"/>
        <w:ind w:left="0" w:right="0" w:firstLine="740"/>
        <w:jc w:val="both"/>
      </w:pPr>
      <w:bookmarkStart w:id="28" w:name="bookmark28"/>
      <w:r>
        <w:rPr>
          <w:color w:val="000000"/>
          <w:spacing w:val="0"/>
          <w:w w:val="100"/>
          <w:position w:val="0"/>
          <w:shd w:val="clear" w:color="auto" w:fill="auto"/>
          <w:lang w:val="ru-RU" w:eastAsia="ru-RU" w:bidi="ru-RU"/>
        </w:rPr>
        <w:t>Согласно подпункту в) пункта 24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w:t>
      </w:r>
      <w:bookmarkEnd w:id="28"/>
    </w:p>
    <w:p>
      <w:pPr>
        <w:pStyle w:val="Style19"/>
        <w:keepNext/>
        <w:keepLines/>
        <w:widowControl w:val="0"/>
        <w:shd w:val="clear" w:color="auto" w:fill="auto"/>
        <w:bidi w:val="0"/>
        <w:spacing w:before="0" w:after="0" w:line="240" w:lineRule="auto"/>
        <w:ind w:left="0" w:right="0" w:firstLine="740"/>
        <w:jc w:val="both"/>
      </w:pPr>
      <w:bookmarkStart w:id="30" w:name="bookmark30"/>
      <w:r>
        <w:rPr>
          <w:color w:val="000000"/>
          <w:spacing w:val="0"/>
          <w:w w:val="100"/>
          <w:position w:val="0"/>
          <w:shd w:val="clear" w:color="auto" w:fill="auto"/>
          <w:lang w:val="ru-RU" w:eastAsia="ru-RU" w:bidi="ru-RU"/>
        </w:rPr>
        <w:t>В соответствии с подпунктами «а», «в», «г» пункта 28 Положения об оценке заявок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bookmarkEnd w:id="30"/>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документом, предусмотренным приложением № 1 к настоящему Положению:</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9"/>
        <w:keepNext/>
        <w:keepLines/>
        <w:widowControl w:val="0"/>
        <w:shd w:val="clear" w:color="auto" w:fill="auto"/>
        <w:bidi w:val="0"/>
        <w:spacing w:before="0" w:after="0" w:line="240" w:lineRule="auto"/>
        <w:ind w:left="0" w:right="0" w:firstLine="740"/>
        <w:jc w:val="both"/>
      </w:pPr>
      <w:bookmarkStart w:id="32" w:name="bookmark32"/>
      <w:r>
        <w:rPr>
          <w:color w:val="000000"/>
          <w:spacing w:val="0"/>
          <w:w w:val="100"/>
          <w:position w:val="0"/>
          <w:shd w:val="clear" w:color="auto" w:fill="auto"/>
          <w:lang w:val="ru-RU" w:eastAsia="ru-RU" w:bidi="ru-RU"/>
        </w:rPr>
        <w:t>Порядок рассмотрения и оценки заявок на участие в конкурсе размещен в составе извещения о закупке в виде отдельного электронного документа (далее - Порядок).</w:t>
      </w:r>
      <w:bookmarkEnd w:id="32"/>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разделу II «Критерии и показатели оценки заявок на участие в закупке» Порядка для оценки заявок на участие в закупке установлено два критерия: «цена контракта, сумма цен единиц товара, работы, услуги» и «квалификация участников закупки, в том числе наличие у них финансовых ресурсов, оборудования и других </w:t>
      </w:r>
      <w:r>
        <w:rPr>
          <w:color w:val="000000"/>
          <w:spacing w:val="0"/>
          <w:w w:val="100"/>
          <w:position w:val="0"/>
          <w:shd w:val="clear" w:color="auto" w:fill="auto"/>
          <w:lang w:val="ru-RU" w:eastAsia="ru-RU" w:bidi="ru-RU"/>
        </w:rPr>
        <w:t>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9"/>
        <w:keepNext/>
        <w:keepLines/>
        <w:widowControl w:val="0"/>
        <w:shd w:val="clear" w:color="auto" w:fill="auto"/>
        <w:bidi w:val="0"/>
        <w:spacing w:before="0" w:after="0" w:line="240" w:lineRule="auto"/>
        <w:ind w:left="0" w:right="0" w:firstLine="740"/>
        <w:jc w:val="both"/>
      </w:pPr>
      <w:bookmarkStart w:id="36" w:name="bookmark36"/>
      <w:r>
        <w:rPr>
          <w:color w:val="000000"/>
          <w:spacing w:val="0"/>
          <w:w w:val="100"/>
          <w:position w:val="0"/>
          <w:shd w:val="clear" w:color="auto" w:fill="auto"/>
          <w:lang w:val="ru-RU" w:eastAsia="ru-RU" w:bidi="ru-RU"/>
        </w:rPr>
        <w:t>Разделом III Порядка определены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Порядка.</w:t>
      </w:r>
      <w:bookmarkEnd w:id="36"/>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подпунктах 2.1.1 «показатель оценки, детализирующий показатель оценки «общая цена исполненных участником закупки договоров» и 2.1.2 «показатель оценки, детализирующий показатель оценки «общее количество исполненных участником закупки договоров» пункта 2.1 «показатель оценки «наличие у участников закупки опыта работы, связанного с предметом контракта» установлено, в том числе: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документам для оценки детализирующего показателя: «Наличие исполненного договора (договоров), предусматривающего выполнение работ по содержанию автомобильных дорог».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-Перечень документов, подтверждающих наличие у участника закупки опыта выполнения работы: исполненный договор (договоры), акт (акты) приемки выполненных работ, составленные при исполнении такого договора (договоров).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заказчика, приведенный в письменных пояснениях от 05.12.2024 № 5106 (вх. от 05.12.2024 № 11697-ЭП/27), озвученный представителями заказчика в ходе рассмотрения жалобы, относительно того, что требование о подписанных актах о выполненных работах, подтверждающих опыт участников, сроком «не ранее 3 лет», не противоречит сроку «не ранее 5 лет», указанному в постановлении Правительства РФ от 31.12.2021 № 2604, не может быть принят по следующим основаниям.</w:t>
      </w:r>
    </w:p>
    <w:p>
      <w:pPr>
        <w:pStyle w:val="Style19"/>
        <w:keepNext/>
        <w:keepLines/>
        <w:widowControl w:val="0"/>
        <w:shd w:val="clear" w:color="auto" w:fill="auto"/>
        <w:bidi w:val="0"/>
        <w:spacing w:before="0" w:after="0" w:line="240" w:lineRule="auto"/>
        <w:ind w:left="0" w:right="0" w:firstLine="740"/>
        <w:jc w:val="both"/>
      </w:pPr>
      <w:bookmarkStart w:id="38" w:name="bookmark38"/>
      <w:r>
        <w:rPr>
          <w:color w:val="000000"/>
          <w:spacing w:val="0"/>
          <w:w w:val="100"/>
          <w:position w:val="0"/>
          <w:shd w:val="clear" w:color="auto" w:fill="auto"/>
          <w:lang w:val="ru-RU" w:eastAsia="ru-RU" w:bidi="ru-RU"/>
        </w:rPr>
        <w:t>В силу части 9 статьи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bookmarkEnd w:id="38"/>
    </w:p>
    <w:p>
      <w:pPr>
        <w:pStyle w:val="Style19"/>
        <w:keepNext/>
        <w:keepLines/>
        <w:widowControl w:val="0"/>
        <w:shd w:val="clear" w:color="auto" w:fill="auto"/>
        <w:bidi w:val="0"/>
        <w:spacing w:before="0" w:after="0" w:line="240" w:lineRule="auto"/>
        <w:ind w:left="0" w:right="0" w:firstLine="740"/>
        <w:jc w:val="both"/>
      </w:pPr>
      <w:bookmarkStart w:id="40" w:name="bookmark40"/>
      <w:r>
        <w:rPr>
          <w:color w:val="000000"/>
          <w:spacing w:val="0"/>
          <w:w w:val="100"/>
          <w:position w:val="0"/>
          <w:shd w:val="clear" w:color="auto" w:fill="auto"/>
          <w:lang w:val="ru-RU" w:eastAsia="ru-RU" w:bidi="ru-RU"/>
        </w:rPr>
        <w:t xml:space="preserve">В соответствии с подпунктом е) пункта 5 Положения об оценке заявок при проведении конкурсов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w:t>
      </w:r>
      <w:r>
        <w:rPr>
          <w:i/>
          <w:iCs/>
          <w:color w:val="000000"/>
          <w:spacing w:val="0"/>
          <w:w w:val="100"/>
          <w:position w:val="0"/>
          <w:shd w:val="clear" w:color="auto" w:fill="auto"/>
          <w:lang w:val="ru-RU" w:eastAsia="ru-RU" w:bidi="ru-RU"/>
        </w:rPr>
        <w:t>в том числе положения, предусмотренные</w:t>
      </w:r>
      <w:r>
        <w:rPr>
          <w:color w:val="000000"/>
          <w:spacing w:val="0"/>
          <w:w w:val="100"/>
          <w:position w:val="0"/>
          <w:shd w:val="clear" w:color="auto" w:fill="auto"/>
          <w:lang w:val="ru-RU" w:eastAsia="ru-RU" w:bidi="ru-RU"/>
        </w:rPr>
        <w:t xml:space="preserve"> пунктами 27 - 35 настоящего Положения.</w:t>
      </w:r>
      <w:bookmarkEnd w:id="40"/>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Подпунктом «г» пункта 28 Положения об оценке заявок установлено, что в случае применения показателя оценки, предусмотренного подпунктом «в» пункта 24 Положения,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этом по общему правилу последний акт, составленный при исполнении договора и подписанный не ранее чем за 5 лет до даты окончания срока подачи заявок, позволяет учитывать опыт исполнения участником закупки договора, исполненного в любой срок за указанный период.</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Указанные положения предусматривают возможность принятия к оценке, в том числе, долгосрочных контрактов (договоров), исполнение которых успешно завершено за последние 5 лет, обеспечивая при этом достижение предусмотренного ими результата, что соответствует целям оценки квалификации участника закупки.</w:t>
      </w:r>
    </w:p>
    <w:p>
      <w:pPr>
        <w:pStyle w:val="Style19"/>
        <w:keepNext/>
        <w:keepLines/>
        <w:widowControl w:val="0"/>
        <w:shd w:val="clear" w:color="auto" w:fill="auto"/>
        <w:bidi w:val="0"/>
        <w:spacing w:before="0" w:after="0" w:line="240" w:lineRule="auto"/>
        <w:ind w:left="0" w:right="0"/>
        <w:jc w:val="both"/>
      </w:pPr>
      <w:bookmarkStart w:id="42" w:name="bookmark42"/>
      <w:r>
        <w:rPr>
          <w:color w:val="000000"/>
          <w:spacing w:val="0"/>
          <w:w w:val="100"/>
          <w:position w:val="0"/>
          <w:shd w:val="clear" w:color="auto" w:fill="auto"/>
          <w:lang w:val="ru-RU" w:eastAsia="ru-RU" w:bidi="ru-RU"/>
        </w:rPr>
        <w:t>Указанные выводы согласуются с позицией Министерства финансов Российской Федерации, обозначенной в письме от 24.11.2023 № 24-06-09/113123 «Об оценке контрактов (договоров) в целях оценки заявок по показателю оценки «наличие у участников закупки опыта поставки товара, выполнения работы, оказания услуги, связанного с предметом контракта».</w:t>
      </w:r>
      <w:bookmarkEnd w:id="42"/>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соответствует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3"/>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необходимости выдачи предписания об устранении допущенного заказчиком нарушения Закона о контрактной системе, постановления Правительства РФ от 31.12.2021 № 2604, учитывая стадию закупки, её социальную значимость, а также то, что заявитель явку на</w:t>
        <w:br w:type="page"/>
      </w:r>
      <w:r>
        <w:rPr>
          <w:color w:val="000000"/>
          <w:spacing w:val="0"/>
          <w:w w:val="100"/>
          <w:position w:val="0"/>
          <w:shd w:val="clear" w:color="auto" w:fill="auto"/>
          <w:lang w:val="ru-RU" w:eastAsia="ru-RU" w:bidi="ru-RU"/>
        </w:rPr>
        <w:t>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доказательств в подтверждение нарушения прав и интересов заявителя как потенциального участника закупки, не представил, приходит к выводу о возможности предписание не выдавать.</w:t>
      </w:r>
    </w:p>
    <w:p>
      <w:pPr>
        <w:pStyle w:val="Style13"/>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3"/>
        <w:keepNext w:val="0"/>
        <w:keepLines w:val="0"/>
        <w:widowControl w:val="0"/>
        <w:numPr>
          <w:ilvl w:val="0"/>
          <w:numId w:val="3"/>
        </w:numPr>
        <w:shd w:val="clear" w:color="auto" w:fill="auto"/>
        <w:tabs>
          <w:tab w:pos="1095"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жалобу обоснованной.</w:t>
      </w:r>
    </w:p>
    <w:p>
      <w:pPr>
        <w:pStyle w:val="Style13"/>
        <w:keepNext w:val="0"/>
        <w:keepLines w:val="0"/>
        <w:widowControl w:val="0"/>
        <w:numPr>
          <w:ilvl w:val="0"/>
          <w:numId w:val="3"/>
        </w:numPr>
        <w:shd w:val="clear" w:color="auto" w:fill="auto"/>
        <w:tabs>
          <w:tab w:pos="1095"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действие заказчика - УЖКХ АМР «Сосногорск» в части включения в Порядок рассмотрения и оценки заявок на участие в конкурсе требований к документу по показателю оценки «наличие у участников закупки опыта работы, связанного с предметом контракта»: «последний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3 года до даты окончания срока подачи заявок», не соответствующим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w:t>
      </w:r>
    </w:p>
    <w:p>
      <w:pPr>
        <w:pStyle w:val="Style13"/>
        <w:keepNext w:val="0"/>
        <w:keepLines w:val="0"/>
        <w:widowControl w:val="0"/>
        <w:numPr>
          <w:ilvl w:val="0"/>
          <w:numId w:val="3"/>
        </w:numPr>
        <w:shd w:val="clear" w:color="auto" w:fill="auto"/>
        <w:tabs>
          <w:tab w:pos="1095"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стадии закупки, её социальной значимости, того, что заявитель явку на заседание по рассмотрению жалобы не обеспечил, доказательств, свидетельствующих об ограничении количества участников закупки, в том числе невозможности участия в закупке, а также доказательств в подтверждение нарушения прав и интересов заявителя как потенциального участника закупки, не представил, предписание об устранении допущенного заказчиком нарушения Закона о контрактной системе, постановления Правительства РФ от 31.12.2021 № 2604, не выдавать.</w:t>
      </w:r>
    </w:p>
    <w:p>
      <w:pPr>
        <w:pStyle w:val="Style13"/>
        <w:keepNext w:val="0"/>
        <w:keepLines w:val="0"/>
        <w:widowControl w:val="0"/>
        <w:numPr>
          <w:ilvl w:val="0"/>
          <w:numId w:val="3"/>
        </w:numPr>
        <w:shd w:val="clear" w:color="auto" w:fill="auto"/>
        <w:tabs>
          <w:tab w:pos="1095" w:val="left"/>
        </w:tabs>
        <w:bidi w:val="0"/>
        <w:spacing w:before="0" w:after="260" w:line="240" w:lineRule="auto"/>
        <w:ind w:left="0" w:right="0" w:firstLine="760"/>
        <w:jc w:val="both"/>
      </w:pPr>
      <w:r>
        <w:rPr>
          <w:color w:val="000000"/>
          <w:spacing w:val="0"/>
          <w:w w:val="100"/>
          <w:position w:val="0"/>
          <w:shd w:val="clear" w:color="auto" w:fill="auto"/>
          <w:lang w:val="ru-RU" w:eastAsia="ru-RU" w:bidi="ru-RU"/>
        </w:rPr>
        <w:t>Решить вопрос о передаче уполномоченному должностному лицу Коми УФАС России материалов жалобы для рассмотрения вопроса о возбуждении административного дела в отношении должностного лица заказчика, допустившего установленное нарушение Закона о контрактной системе, постановления Правительства РФ от 31.12.2021 № 2604.</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304800" distB="234950" distL="0" distR="0" simplePos="0" relativeHeight="125829388" behindDoc="0" locked="0" layoutInCell="1" allowOverlap="1">
                <wp:simplePos x="0" y="0"/>
                <wp:positionH relativeFrom="page">
                  <wp:posOffset>739775</wp:posOffset>
                </wp:positionH>
                <wp:positionV relativeFrom="paragraph">
                  <wp:posOffset>304800</wp:posOffset>
                </wp:positionV>
                <wp:extent cx="1700530" cy="225425"/>
                <wp:wrapTopAndBottom/>
                <wp:docPr id="19" name="Shape 19"/>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5" type="#_x0000_t202" style="position:absolute;margin-left:58.25pt;margin-top:24.pt;width:133.90000000000001pt;height:17.75pt;z-index:-125829365;mso-wrap-distance-left:0;mso-wrap-distance-top:24.pt;mso-wrap-distance-right:0;mso-wrap-distance-bottom:18.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9415" distB="18415" distL="0" distR="1816735" simplePos="0" relativeHeight="125829390" behindDoc="0" locked="0" layoutInCell="1" allowOverlap="1">
            <wp:simplePos x="0" y="0"/>
            <wp:positionH relativeFrom="page">
              <wp:posOffset>2690495</wp:posOffset>
            </wp:positionH>
            <wp:positionV relativeFrom="paragraph">
              <wp:posOffset>399415</wp:posOffset>
            </wp:positionV>
            <wp:extent cx="292735"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466725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34343"/>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9999999999999pt;margin-top:36.75pt;width:135.84999999999999pt;height:20.15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34343"/>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0225" distB="0" distL="0" distR="0" simplePos="0" relativeHeight="125829391" behindDoc="0" locked="0" layoutInCell="1" allowOverlap="1">
                <wp:simplePos x="0" y="0"/>
                <wp:positionH relativeFrom="page">
                  <wp:posOffset>6217285</wp:posOffset>
                </wp:positionH>
                <wp:positionV relativeFrom="paragraph">
                  <wp:posOffset>530225</wp:posOffset>
                </wp:positionV>
                <wp:extent cx="975360" cy="234950"/>
                <wp:wrapTopAndBottom/>
                <wp:docPr id="25" name="Shape 25"/>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51" type="#_x0000_t202" style="position:absolute;margin-left:489.55000000000001pt;margin-top:41.75pt;width:76.799999999999997pt;height:18.5pt;z-index:-125829362;mso-wrap-distance-left:0;mso-wrap-distance-top:41.7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color w:val="E7E7E7"/>
          <w:spacing w:val="0"/>
          <w:w w:val="100"/>
          <w:position w:val="0"/>
          <w:sz w:val="11"/>
          <w:szCs w:val="11"/>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left="3100"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23"/>
        <w:keepNext w:val="0"/>
        <w:keepLines w:val="0"/>
        <w:widowControl w:val="0"/>
        <w:shd w:val="clear" w:color="auto" w:fill="auto"/>
        <w:bidi w:val="0"/>
        <w:spacing w:before="0" w:after="0" w:line="240" w:lineRule="auto"/>
        <w:ind w:left="310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23"/>
        <w:keepNext w:val="0"/>
        <w:keepLines w:val="0"/>
        <w:widowControl w:val="0"/>
        <w:shd w:val="clear" w:color="auto" w:fill="auto"/>
        <w:bidi w:val="0"/>
        <w:spacing w:before="0" w:after="60" w:line="240" w:lineRule="auto"/>
        <w:ind w:left="3100" w:right="0" w:firstLine="0"/>
        <w:jc w:val="left"/>
        <w:sectPr>
          <w:footnotePr>
            <w:pos w:val="pageBottom"/>
            <w:numFmt w:val="decimal"/>
            <w:numRestart w:val="continuous"/>
          </w:footnotePr>
          <w:type w:val="continuous"/>
          <w:pgSz w:w="11900" w:h="16840"/>
          <w:pgMar w:top="1143" w:right="534" w:bottom="980" w:left="1098" w:header="0" w:footer="3" w:gutter="0"/>
          <w:cols w:space="720"/>
          <w:noEndnote/>
          <w:rtlGutter w:val="0"/>
          <w:docGrid w:linePitch="360"/>
        </w:sectPr>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color w:val="6C6C6C"/>
          <w:spacing w:val="0"/>
          <w:w w:val="100"/>
          <w:position w:val="0"/>
          <w:shd w:val="clear" w:color="auto" w:fill="auto"/>
          <w:lang w:val="ru-RU" w:eastAsia="ru-RU" w:bidi="ru-RU"/>
        </w:rPr>
        <w:t>03.09.2025</w:t>
      </w: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pgSz w:w="11900" w:h="16840"/>
          <w:pgMar w:top="1464" w:right="575" w:bottom="1166" w:left="1140" w:header="0" w:footer="3" w:gutter="0"/>
          <w:cols w:space="720"/>
          <w:noEndnote/>
          <w:rtlGutter w:val="0"/>
          <w:docGrid w:linePitch="360"/>
        </w:sectPr>
      </w:pPr>
    </w:p>
    <w:p>
      <w:pPr>
        <w:pStyle w:val="Style13"/>
        <w:keepNext w:val="0"/>
        <w:keepLines w:val="0"/>
        <w:framePr w:w="1963" w:h="370" w:wrap="none" w:vAnchor="text" w:hAnchor="page" w:x="1160"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5"/>
        <w:keepNext w:val="0"/>
        <w:keepLines w:val="0"/>
        <w:framePr w:w="2717" w:h="403" w:wrap="none" w:vAnchor="text" w:hAnchor="page" w:x="4842" w:y="961"/>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3"/>
        <w:keepNext w:val="0"/>
        <w:keepLines w:val="0"/>
        <w:framePr w:w="1560" w:h="365" w:wrap="none" w:vAnchor="text" w:hAnchor="page" w:x="9766" w:y="1009"/>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Оверина</w:t>
      </w:r>
    </w:p>
    <w:p>
      <w:pPr>
        <w:widowControl w:val="0"/>
        <w:spacing w:line="360" w:lineRule="exact"/>
      </w:pPr>
      <w:r>
        <w:drawing>
          <wp:anchor distT="0" distB="0" distL="0" distR="1798320" simplePos="0" relativeHeight="62914696" behindDoc="1" locked="0" layoutInCell="1" allowOverlap="1">
            <wp:simplePos x="0" y="0"/>
            <wp:positionH relativeFrom="page">
              <wp:posOffset>2671445</wp:posOffset>
            </wp:positionH>
            <wp:positionV relativeFrom="paragraph">
              <wp:posOffset>527050</wp:posOffset>
            </wp:positionV>
            <wp:extent cx="328930" cy="384175"/>
            <wp:wrapNone/>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28930" cy="384175"/>
                    </a:xfrm>
                    <a:prstGeom prst="rect"/>
                  </pic:spPr>
                </pic:pic>
              </a:graphicData>
            </a:graphic>
          </wp:anchor>
        </w:drawing>
      </w:r>
    </w:p>
    <w:p>
      <w:pPr>
        <w:widowControl w:val="0"/>
        <w:spacing w:line="360" w:lineRule="exact"/>
      </w:pPr>
    </w:p>
    <w:p>
      <w:pPr>
        <w:widowControl w:val="0"/>
        <w:spacing w:after="714" w:line="1" w:lineRule="exact"/>
      </w:pPr>
    </w:p>
    <w:p>
      <w:pPr>
        <w:widowControl w:val="0"/>
        <w:spacing w:line="1" w:lineRule="exact"/>
        <w:sectPr>
          <w:footnotePr>
            <w:pos w:val="pageBottom"/>
            <w:numFmt w:val="decimal"/>
            <w:numRestart w:val="continuous"/>
          </w:footnotePr>
          <w:type w:val="continuous"/>
          <w:pgSz w:w="11900" w:h="16840"/>
          <w:pgMar w:top="1464" w:right="575" w:bottom="1166" w:left="1140" w:header="0" w:footer="3" w:gutter="0"/>
          <w:cols w:space="720"/>
          <w:noEndnote/>
          <w:rtlGutter w:val="0"/>
          <w:docGrid w:linePitch="360"/>
        </w:sectPr>
      </w:pP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008А5031677Е92ПА65Е043ЕАЕ5Э626607А</w:t>
      </w:r>
    </w:p>
    <w:p>
      <w:pPr>
        <w:pStyle w:val="Style23"/>
        <w:keepNext w:val="0"/>
        <w:keepLines w:val="0"/>
        <w:widowControl w:val="0"/>
        <w:shd w:val="clear" w:color="auto" w:fill="auto"/>
        <w:bidi w:val="0"/>
        <w:spacing w:before="0" w:after="0" w:line="240" w:lineRule="auto"/>
        <w:ind w:left="0"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16.07.2024 </w:t>
      </w:r>
      <w:r>
        <w:rPr>
          <w:color w:val="000000"/>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09.10.2025</w:t>
      </w:r>
    </w:p>
    <w:p>
      <w:pPr>
        <w:widowControl w:val="0"/>
        <w:spacing w:line="1" w:lineRule="exact"/>
        <w:sectPr>
          <w:footnotePr>
            <w:pos w:val="pageBottom"/>
            <w:numFmt w:val="decimal"/>
            <w:numRestart w:val="continuous"/>
          </w:footnotePr>
          <w:type w:val="continuous"/>
          <w:pgSz w:w="11900" w:h="16840"/>
          <w:pgMar w:top="2022" w:right="4227" w:bottom="10748" w:left="4207" w:header="0" w:footer="3" w:gutter="0"/>
          <w:cols w:space="720"/>
          <w:noEndnote/>
          <w:rtlGutter w:val="0"/>
          <w:docGrid w:linePitch="360"/>
        </w:sectPr>
      </w:pPr>
      <w:r>
        <w:drawing>
          <wp:anchor distT="304800" distB="0" distL="0" distR="1816735" simplePos="0" relativeHeight="125829393" behindDoc="0" locked="0" layoutInCell="1" allowOverlap="1">
            <wp:simplePos x="0" y="0"/>
            <wp:positionH relativeFrom="page">
              <wp:posOffset>2689860</wp:posOffset>
            </wp:positionH>
            <wp:positionV relativeFrom="paragraph">
              <wp:posOffset>304800</wp:posOffset>
            </wp:positionV>
            <wp:extent cx="292735" cy="347345"/>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368935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05000000000001pt;margin-top:29.050000000000001pt;width:135.84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96240" distB="20955" distL="0" distR="0" simplePos="0" relativeHeight="125829394" behindDoc="0" locked="0" layoutInCell="1" allowOverlap="1">
                <wp:simplePos x="0" y="0"/>
                <wp:positionH relativeFrom="page">
                  <wp:posOffset>6082030</wp:posOffset>
                </wp:positionH>
                <wp:positionV relativeFrom="paragraph">
                  <wp:posOffset>396240</wp:posOffset>
                </wp:positionV>
                <wp:extent cx="1103630" cy="234950"/>
                <wp:wrapTopAndBottom/>
                <wp:docPr id="33" name="Shape 33"/>
                <a:graphic xmlns:a="http://schemas.openxmlformats.org/drawingml/2006/main">
                  <a:graphicData uri="http://schemas.microsoft.com/office/word/2010/wordprocessingShape">
                    <wps:wsp>
                      <wps:cNvSpPr txBox="1"/>
                      <wps:spPr>
                        <a:xfrm>
                          <a:ext cx="110363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Мокиенко</w:t>
                            </w:r>
                          </w:p>
                        </w:txbxContent>
                      </wps:txbx>
                      <wps:bodyPr wrap="none" lIns="0" tIns="0" rIns="0" bIns="0">
                        <a:noAutoFit/>
                      </wps:bodyPr>
                    </wps:wsp>
                  </a:graphicData>
                </a:graphic>
              </wp:anchor>
            </w:drawing>
          </mc:Choice>
          <mc:Fallback>
            <w:pict>
              <v:shape id="_x0000_s1059" type="#_x0000_t202" style="position:absolute;margin-left:478.90000000000003pt;margin-top:31.199999999999999pt;width:86.900000000000006pt;height:18.5pt;z-index:-125829359;mso-wrap-distance-left:0;mso-wrap-distance-top:31.199999999999999pt;mso-wrap-distance-right:0;mso-wrap-distance-bottom:1.65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Мокиенко</w:t>
                      </w:r>
                    </w:p>
                  </w:txbxContent>
                </v:textbox>
                <w10:wrap type="topAndBottom" anchorx="page"/>
              </v:shape>
            </w:pict>
          </mc:Fallback>
        </mc:AlternateConten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color w:val="E7E7E7"/>
          <w:spacing w:val="0"/>
          <w:w w:val="100"/>
          <w:position w:val="0"/>
          <w:sz w:val="11"/>
          <w:szCs w:val="11"/>
          <w:shd w:val="clear" w:color="auto" w:fill="auto"/>
          <w:lang w:val="ru-RU" w:eastAsia="ru-RU" w:bidi="ru-RU"/>
        </w:rPr>
        <w:t xml:space="preserve">СВЕДЕНИЯ О </w:t>
      </w:r>
      <w:r>
        <w:rPr>
          <w:color w:val="FFFFFF"/>
          <w:spacing w:val="0"/>
          <w:w w:val="100"/>
          <w:position w:val="0"/>
          <w:sz w:val="11"/>
          <w:szCs w:val="11"/>
          <w:shd w:val="clear" w:color="auto" w:fill="auto"/>
          <w:lang w:val="ru-RU" w:eastAsia="ru-RU" w:bidi="ru-RU"/>
        </w:rPr>
        <w:t xml:space="preserve">СЕРТИФИКАТЕ </w:t>
      </w:r>
      <w:r>
        <w:rPr>
          <w:color w:val="E7E7E7"/>
          <w:spacing w:val="0"/>
          <w:w w:val="100"/>
          <w:position w:val="0"/>
          <w:sz w:val="11"/>
          <w:szCs w:val="11"/>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C6C6C"/>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5740В06С3000758Е050638ВЕ6СА058С1</w:t>
      </w:r>
    </w:p>
    <w:p>
      <w:pPr>
        <w:pStyle w:val="Style23"/>
        <w:keepNext w:val="0"/>
        <w:keepLines w:val="0"/>
        <w:widowControl w:val="0"/>
        <w:shd w:val="clear" w:color="auto" w:fill="auto"/>
        <w:bidi w:val="0"/>
        <w:spacing w:before="0" w:after="60" w:line="240" w:lineRule="auto"/>
        <w:ind w:left="0"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по </w:t>
      </w:r>
      <w:r>
        <w:rPr>
          <w:color w:val="6C6C6C"/>
          <w:spacing w:val="0"/>
          <w:w w:val="100"/>
          <w:position w:val="0"/>
          <w:shd w:val="clear" w:color="auto" w:fill="auto"/>
          <w:lang w:val="ru-RU" w:eastAsia="ru-RU" w:bidi="ru-RU"/>
        </w:rPr>
        <w:t>19.03.2025</w:t>
      </w:r>
    </w:p>
    <w:sectPr>
      <w:footnotePr>
        <w:pos w:val="pageBottom"/>
        <w:numFmt w:val="decimal"/>
        <w:numRestart w:val="continuous"/>
      </w:footnotePr>
      <w:type w:val="continuous"/>
      <w:pgSz w:w="11900" w:h="16840"/>
      <w:pgMar w:top="2022" w:right="4338" w:bottom="2022" w:left="42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10016490</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2024-8071</w:t>
                          </w:r>
                        </w:p>
                      </w:txbxContent>
                    </wps:txbx>
                    <wps:bodyPr wrap="none" lIns="0" tIns="0" rIns="0" bIns="0">
                      <a:spAutoFit/>
                    </wps:bodyPr>
                  </wps:wsp>
                </a:graphicData>
              </a:graphic>
            </wp:anchor>
          </w:drawing>
        </mc:Choice>
        <mc:Fallback>
          <w:pict>
            <v:shape id="_x0000_s1035" type="#_x0000_t202" style="position:absolute;margin-left:57.050000000000004pt;margin-top:788.7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36905" cy="100330"/>
              <wp:wrapNone/>
              <wp:docPr id="11" name="Shape 1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2024-8071</w:t>
                          </w:r>
                        </w:p>
                      </w:txbxContent>
                    </wps:txbx>
                    <wps:bodyPr wrap="none" lIns="0" tIns="0" rIns="0" bIns="0">
                      <a:spAutoFit/>
                    </wps:bodyPr>
                  </wps:wsp>
                </a:graphicData>
              </a:graphic>
            </wp:anchor>
          </w:drawing>
        </mc:Choice>
        <mc:Fallback>
          <w:pict>
            <v:shape id="_x0000_s1037" type="#_x0000_t202" style="position:absolute;margin-left:57.pt;margin-top:776.2000000000000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2024-8071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716915</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05000000000001pt;margin-top:56.45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5)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0">
    <w:name w:val="Заголовок №1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34343"/>
      <w:sz w:val="12"/>
      <w:szCs w:val="12"/>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Основной текст (4)"/>
    <w:basedOn w:val="Normal"/>
    <w:link w:val="CharStyle6"/>
    <w:pPr>
      <w:widowControl w:val="0"/>
      <w:shd w:val="clear" w:color="auto" w:fill="auto"/>
      <w:spacing w:after="15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5)"/>
    <w:basedOn w:val="Normal"/>
    <w:link w:val="CharStyle11"/>
    <w:pPr>
      <w:widowControl w:val="0"/>
      <w:shd w:val="clear" w:color="auto" w:fill="auto"/>
      <w:spacing w:line="233" w:lineRule="auto"/>
      <w:ind w:firstLine="140"/>
    </w:pPr>
    <w:rPr>
      <w:rFonts w:ascii="Times New Roman" w:eastAsia="Times New Roman" w:hAnsi="Times New Roman" w:cs="Times New Roman"/>
      <w:b w:val="0"/>
      <w:bCs w:val="0"/>
      <w:i w:val="0"/>
      <w:iCs w:val="0"/>
      <w:smallCaps w:val="0"/>
      <w:strike w:val="0"/>
      <w:sz w:val="30"/>
      <w:szCs w:val="3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9">
    <w:name w:val="Заголовок №1"/>
    <w:basedOn w:val="Normal"/>
    <w:link w:val="CharStyle20"/>
    <w:pPr>
      <w:widowControl w:val="0"/>
      <w:shd w:val="clear" w:color="auto" w:fill="auto"/>
      <w:ind w:firstLine="76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Основной текст (2)"/>
    <w:basedOn w:val="Normal"/>
    <w:link w:val="CharStyle24"/>
    <w:pPr>
      <w:widowControl w:val="0"/>
      <w:shd w:val="clear" w:color="auto" w:fill="auto"/>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Вопрос: Об оценке контрактов (договоров) в целях оценки заявок по показателю оценки "наличие у участников закупки опыта поставки товара, выполнения работы, оказания услуги, связанного с предметом контракта".(Письмо Минфина России от 24.11.2023 N 24-06-09/113123)</dc:title>
  <dc:subject/>
  <dc:creator/>
  <cp:keywords/>
</cp:coreProperties>
</file>