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РАНХиГС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162" w:right="2505" w:bottom="621" w:left="1601" w:header="734" w:footer="3" w:gutter="0"/>
          <w:pgNumType w:start="1"/>
          <w:cols w:num="2" w:space="1539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^о1до8кееV-аV@^апера.^и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2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41" w:bottom="62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3985" distB="966470" distL="0" distR="0" simplePos="0" relativeHeight="125829378" behindDoc="0" locked="0" layoutInCell="1" allowOverlap="1">
                <wp:simplePos x="0" y="0"/>
                <wp:positionH relativeFrom="page">
                  <wp:posOffset>1683385</wp:posOffset>
                </wp:positionH>
                <wp:positionV relativeFrom="paragraph">
                  <wp:posOffset>133985</wp:posOffset>
                </wp:positionV>
                <wp:extent cx="722630" cy="15240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263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132.55000000000001pt;margin-top:10.550000000000001pt;width:56.899999999999999pt;height:12.pt;z-index:-125829375;mso-wrap-distance-left:0;mso-wrap-distance-top:10.550000000000001pt;mso-wrap-distance-right:0;mso-wrap-distance-bottom:76.10000000000000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96240" distB="563880" distL="0" distR="0" simplePos="0" relativeHeight="125829380" behindDoc="0" locked="0" layoutInCell="1" allowOverlap="1">
                <wp:simplePos x="0" y="0"/>
                <wp:positionH relativeFrom="page">
                  <wp:posOffset>1259840</wp:posOffset>
                </wp:positionH>
                <wp:positionV relativeFrom="paragraph">
                  <wp:posOffset>396240</wp:posOffset>
                </wp:positionV>
                <wp:extent cx="1557655" cy="29273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7655" cy="292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99.200000000000003pt;margin-top:31.199999999999999pt;width:122.65000000000001pt;height:23.050000000000001pt;z-index:-125829373;mso-wrap-distance-left:0;mso-wrap-distance-top:31.199999999999999pt;mso-wrap-distance-right:0;mso-wrap-distance-bottom:44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798830" distL="0" distR="0" simplePos="0" relativeHeight="125829382" behindDoc="0" locked="0" layoutInCell="1" allowOverlap="1">
                <wp:simplePos x="0" y="0"/>
                <wp:positionH relativeFrom="page">
                  <wp:posOffset>4073525</wp:posOffset>
                </wp:positionH>
                <wp:positionV relativeFrom="paragraph">
                  <wp:posOffset>0</wp:posOffset>
                </wp:positionV>
                <wp:extent cx="2371090" cy="45402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1090" cy="4540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ООО «БРОКЕР ГРУПП»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оооЛепдег.Ъгокег77@дтай.сот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20.75pt;margin-top:0;width:186.70000000000002pt;height:35.75pt;z-index:-125829371;mso-wrap-distance-left:0;mso-wrap-distance-right:0;mso-wrap-distance-bottom:62.899999999999999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ООО «БРОКЕР ГРУПП»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оооЛепдег.Ъгокег77@дтай.сот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3735" distB="0" distL="0" distR="0" simplePos="0" relativeHeight="125829384" behindDoc="0" locked="0" layoutInCell="1" allowOverlap="1">
                <wp:simplePos x="0" y="0"/>
                <wp:positionH relativeFrom="page">
                  <wp:posOffset>805815</wp:posOffset>
                </wp:positionH>
                <wp:positionV relativeFrom="paragraph">
                  <wp:posOffset>673735</wp:posOffset>
                </wp:positionV>
                <wp:extent cx="2435225" cy="57912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579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е-тай: 1о77@Га8.еоу.ги</w:t>
                            </w:r>
                          </w:p>
                          <w:p>
                            <w:pPr>
                              <w:pStyle w:val="Style11"/>
                              <w:keepNext/>
                              <w:keepLines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bookmarkStart w:id="0" w:name="bookmark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07.10.2024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41303/24</w:t>
                            </w:r>
                            <w:bookmarkEnd w:id="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3.450000000000003pt;margin-top:53.050000000000004pt;width:191.75pt;height:45.600000000000001pt;z-index:-125829369;mso-wrap-distance-left:0;mso-wrap-distance-top:53.050000000000004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е-тай: 1о77@Га8.еоу.ги</w:t>
                      </w:r>
                    </w:p>
                    <w:p>
                      <w:pPr>
                        <w:pStyle w:val="Style11"/>
                        <w:keepNext/>
                        <w:keepLines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bookmarkStart w:id="0" w:name="bookmark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07.10.2024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41303/24</w:t>
                      </w:r>
                      <w:bookmarkEnd w:id="0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36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62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54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На№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№077/06/106-13261/2024 о нарушении</w:t>
        <w:br/>
        <w:t>законодательства о контрактной системе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6405245</wp:posOffset>
                </wp:positionH>
                <wp:positionV relativeFrom="paragraph">
                  <wp:posOffset>38100</wp:posOffset>
                </wp:positionV>
                <wp:extent cx="795655" cy="19812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5655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Москва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04.35000000000002pt;margin-top:3.pt;width:62.649999999999999pt;height:15.6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Москва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Д.С. Грешневой,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О.А. Челновой,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А.А. Леоновой,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230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РАНХиГС:</w:t>
        <w:tab/>
        <w:t>А.Р. Гараева (по доверенности №437 от 20.06.2023),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Т.Л. Тодоровой (по доверенности №436 от 20.06.2023),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«Брокер Групп», о времени и порядке заседания Комиссии Управления уведомленных посредством функционала Единой информационной системы,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«Брокер Групп» (далее — Заявитель) на действия РАНХиГС при Президенте Российской Федерации (далее — Заказчик) при проведении запроса котировок на право заключения государственного контракта на оказание услуг по очистке скатных кровель от снега, наледи, сосулек и вывозу сброшенного снега с территорий комплекса зданий федерального государственного образовательного учреждения высшего образования «Российская академия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41" w:bottom="621" w:left="1106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народного хозяйства и государственной службы при Президенте Российской Федерации» (Закупка №0373100037624000176) (далее — запрос котировок),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запроса котировок.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России, Комиссия Управления установила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Заказчиком неправомерно установлены дополнительные требования к участникам закупочной процедуры в соответствии с позицией 36 Приложения к Постановлению Правительства РФ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— Постановление №2571).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п.12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п.1 ч.1 ст.31 Закона о контрактной системе, требования, предъявляемые к участникам закупки в соответствии с ч.2 и 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ст.31 Закона о контрактной системе (при наличии такого требования).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1" w:val="left"/>
        </w:tabs>
        <w:bidi w:val="0"/>
        <w:spacing w:before="0" w:after="5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2.1 ст.31 Закона о контрактной системе, устанавливается Правительством Российской Федерации.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ч.6 ст.31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пп. «а» п.1 Постановления №2571 установлено, что к участникам закупки отдельных видов товаров, работ, услуг предъявляются дополнительные требования согласно Приложению. Соответствие участников закупки указанным дополнительным требованиям подтверждается информацией и документами, предусмотренными Приложением.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п.3 Постановления №2571 положения Постановления №2571 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Приложения применяется с учетом положений п.3 Постановления №2571 в случае, если объект закупки включает один или несколько закупаемых товаров, работ, услуг, указанных в приложении в соответствующей позиции графы «Наименование отдельных видов товаров, работ, услуг, являющихся объектом закупки, наименование товаров, работ, услуг, являющихся объектом отдельных видов закупок»;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позиции 14, 15 и 36 Приложения применяются в случае, если при осуществлении закупки начальная (максимальная) цена контракта превышает 1 млн.рублей.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позиции 14 Приложения к Постановлению №2571 при проведении закупочной процедуры объектом которой являются работы, услуги по техническому обслуживанию зданий, сооружений предъявляются дополнительные требования.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согласно позиции 36 Приложения к Постановлению №2571 при проведении закупочной процедуры объектом которой являются услуги по уборке зданий, сооружений, прилегающих к ним территорий к участникам закупочной процедуры предъявляются дополнительные требования.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Комиссией Управления установлено, что, согласно извещению о проведении запроса котировок в электронной форме от 20.09.2024 №0373100037624000176 объектом закупочной процедуры является оказание услуг по очистке скатных кровель от снега, наледи, сосулек и вывозу сброшенного снега с территорий комплекса зданий федерального государственного образовательного учреждения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высшего образования «Российская академия народного хозяйства и государственной службы при Президенте Российской Федерации», при этом начальная (максимальная) цена контракта составляет 6 678 476,75 руб.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ч.5 ст.31 Закона о контрактной системе информация об установленных требованиях в соответствии с частями 1, 1.1, 2 и 2.1 ст.31 Закона контрактной системе указывается заказчиком в извещении об осуществлении закупки и документации о закупке (в случае, если Законом о контрактной системе предусмотрена документация о закупке).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заседания Комиссией Управления установлено, что согласно положениям Технического задания, предметом контракта предусмотрено, в частности: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Очистка кровель, выходящих на газоны и другие места территорий, где снижается вероятность травмирования прохожих, производится в течение 3 световых дней;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Осмотр и прочистка водосточных труб, ливневой канализации от наледи и снега производится по мере необходимости;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-Очистка кровли от снега со всех ее скатов, начиная от карнизов к коньку равномерно, не допуская перегрузки от снега отдельных участков. С кровли не снимается тонкий слой льда, за исключением свесов, где полная очистка необходима для предупреждения образования наледей и сосулек.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представленных Заказчиком возражений, Заказчик не согласен с доводами жалобы, а также в отношении положений, указанных в жалобе пояснено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Приложением Б к «ГОСТ Р 51870-2014. Национальный стандарт Российской Федерации. Услуги профессиональной уборки - клининговые услуги. Общие технические условия» в перечень услуг профессиональной уборки - клининговых услуг включены: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«- механизированная уборка снега, формирование временных снежных куч и валов в установленных местах;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уборка снега с использованием ручного инвентаря, формирование временных снежных куч и валов в установленных местах;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удаление плотного снега, наледи и льда с использованием ручного инвентаря;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очистка крыш от снега и льда, очистку пешеходных зон, парковок и проезжих частей от сброшенного снега и льда;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57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погрузка и вывоз снега».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4.3 «ГОСТ Р 57582-2017. Национальный стандарт Российской Федерации. Услуги профессиональной уборки - клининговые услуги. Система оценки качества организаций профессиональной уборки» в состав услуг профессиональной уборки включено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«- удаление снега и льда, уход за территорией, очистка крыш зданий и сооружений».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пункта 4.18 «ГОСТ Р 70821-2023. Национальный стандарт Российской Федерации. Услуги профессиональной уборки - клининговые услуги. Уборка в общеобразовательных организациях. Общие требования и требования безопасности»: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«4.18 Уборку прилегающей (собственной) территории (далее - территория) проводят ежедневно или по мере необходимости.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Использование химических реагентов для очистки территории от снега не допускается.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Скопление снега у наружных стен зданий и сооружений подлежит регулярной уборке во избежание попеременного намокания и замораживания.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Удаление снеговой массы с крыш и покрытий зданий проводят при достижении величины снежного покрова: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57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5 до 10 см - во время оттепелей;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57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 20 см - в морозную погоду».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Заказчик делает вывод о том, что установленное дополнительное требование к участникам закупки в соответствии с позицией 36 приложения к Постановлению №2571 правомерно.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считает необходимым отметить, что объектом закупки является оказание услуг по очистке кровель от снега, наледи и сосулек.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ч.8 ст.55.24 Градостроительного кодекса Российской Федерации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техническое обслуживание зданий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сооружений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текущий ремонт зданий, сооружений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проводятся в целях обеспечения надлежащего технического состояния таких зданий, сооружений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 надлежащим техническим состоянием зданий, сооружений понимаются поддержание параметров устойчивости, надежности зданий, сооружений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а также исправность строительных конструкций, систем инженерно-технического обеспечения, сетей инженерно-технического обеспечения, их элементов в соответствии с требованиями технических регламентов, проектной документации и в соответствии с исполнительной документацией.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П.9.2 СП 255.1325800.2016 определено, что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состав работ по текущему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обслуживанию входят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: - исправление незначительных неисправностей, выявленных в ходе осмотров; - проведение регламентных работ по регулировке и наладке систем инженерно-технического обеспечения, в том числе при подготовке к сезонной эксплуатации; - проведение работ по подготовке здания (сооружения) к сезонной эксплуатации; - санитарное содержание помещений здания (сооружения) и прилегающей территории; -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уборка снега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 - обеспечение работоспособности систем (станций) мониторинга технического состояния и динамического поведения конструкций и прилегающих грунтов (если такие системы установлены).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п.11.3 СП 255.1325800.2016 для предохранения строительных конструкций и оснований зданий (сооружений) от воздействия атмосферных осадков и грунтовых вод следует в том числе обеспечивать своевременную очистку и удаления наледи и сосулек с карнизов и при необходимости уборку снега с кровли; организовывать уборку снега от стен здания (сооружения) на расстоянии не менее 2 м при наступлении оттепелей.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составе работ по текущему обслуживанию здания, удаление снега, наледи и сосулек с кровли выделено в отдельную категорию, поскольку оно направлено на обеспечение надлежащего состояния здания, поддержания параметров устойчивости и надёжности кровли, являющейся неотъемлемой частью здания, в то время как уборка по своей сути направлена на обеспечение надлежащего уровня чистоты и санитарного состояния здания.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выводу, что указанные в Техническом задании работы не могут быть отнесены к услугам по уборке зданий, сооружений, прилегающих к ним территорий, что свидетельствует о том, что объект закупочной процедуры связан именно с техническим обслуживанием здания, что не подпадает под условия применения п.36 Постановления №2571.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нарушении Заказчиком ч.6 ст.31, п.12 ч.1 ст.42 Закона о контрактной системе, что содержит признаки состава административного правонарушения, ответственность за которое предусмотрена ч.4 ст.7.30 Кодекса Российской Федерации об административных правонарушениях.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  <w:sectPr>
          <w:headerReference w:type="default" r:id="rId6"/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436" w:left="110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1.Признать жалобу ООО «Брокер Групп» на действия РАНХиГС обоснованной.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Заказчика нарушение ч.6 ст.31, п.12 ч.1 ст.42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3.Обязательное для исполнения предписание об устранении нарушений Закона о контрактной системе Заказчику не выдавать, поскольку выдано ранее в рамках дела №077/06/106-13415/2024 от 02.10.2024.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272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3500" distB="201295" distL="0" distR="0" simplePos="0" relativeHeight="12582938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63500</wp:posOffset>
                </wp:positionV>
                <wp:extent cx="185039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950000000000003pt;margin-top:5.pt;width:145.70000000000002pt;height:19.900000000000002pt;z-index:-125829365;mso-wrap-distance-left:0;mso-wrap-distance-top:5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4940" distB="0" distL="0" distR="1807210" simplePos="0" relativeHeight="125829390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154940</wp:posOffset>
            </wp:positionV>
            <wp:extent cx="311150" cy="36576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227965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55000000000001pt;margin-top:17.94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201295" distL="0" distR="0" simplePos="0" relativeHeight="125829391" behindDoc="0" locked="0" layoutInCell="1" allowOverlap="1">
                <wp:simplePos x="0" y="0"/>
                <wp:positionH relativeFrom="page">
                  <wp:posOffset>6085205</wp:posOffset>
                </wp:positionH>
                <wp:positionV relativeFrom="paragraph">
                  <wp:posOffset>63500</wp:posOffset>
                </wp:positionV>
                <wp:extent cx="1136650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9.15000000000003pt;margin-top:5.pt;width:89.5pt;height:19.900000000000002pt;z-index:-125829362;mso-wrap-distance-left:0;mso-wrap-distance-top:5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</w:pPr>
      <w:r>
        <w:rPr>
          <w:b/>
          <w:bCs/>
          <w:color w:val="E8E8E8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F3F3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00Е5ЕС2ЕА33995761 </w:t>
      </w:r>
      <w:r>
        <w:rPr>
          <w:color w:val="3F3F3F"/>
          <w:spacing w:val="0"/>
          <w:w w:val="100"/>
          <w:position w:val="0"/>
          <w:shd w:val="clear" w:color="auto" w:fill="auto"/>
          <w:lang w:val="ru-RU" w:eastAsia="ru-RU" w:bidi="ru-RU"/>
        </w:rPr>
        <w:t>О5А45С83ЕВ9ЕЕО0Е</w:t>
      </w:r>
      <w:r>
        <w:rPr>
          <w:color w:val="3F3F3F"/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F3F3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07.05.2024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31.07.2025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280" w:right="0" w:firstLine="0"/>
        <w:jc w:val="left"/>
      </w:pPr>
      <w:r>
        <w:drawing>
          <wp:anchor distT="0" distB="0" distL="114300" distR="1903730" simplePos="0" relativeHeight="125829393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468630</wp:posOffset>
                </wp:positionV>
                <wp:extent cx="1280160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1.15000000000003pt;margin-top:36.899999999999999pt;width:100.8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55000000000001pt;margin-top:12.2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О.А. Челнова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Челнова Олеся Антоновна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F3F3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218С2Е7Г53Р7Е88445А841</w:t>
      </w:r>
      <w:r>
        <w:rPr>
          <w:color w:val="3F3F3F"/>
          <w:spacing w:val="0"/>
          <w:w w:val="100"/>
          <w:position w:val="0"/>
          <w:shd w:val="clear" w:color="auto" w:fill="auto"/>
          <w:lang w:val="ru-RU" w:eastAsia="ru-RU" w:bidi="ru-RU"/>
        </w:rPr>
        <w:t>АСЕ73Е4Э187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F3F3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10.04.2024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04.07.2025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280" w:right="0" w:firstLine="0"/>
        <w:jc w:val="left"/>
      </w:pPr>
      <w:r>
        <w:drawing>
          <wp:anchor distT="0" distB="0" distL="114300" distR="1903730" simplePos="0" relativeHeight="125829394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1.10000000000002pt;margin-top:36.300000000000004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5pt;margin-top:11.8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Леонова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Леонова Алена Альбертовна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color w:val="3F3F3F"/>
          <w:spacing w:val="0"/>
          <w:w w:val="100"/>
          <w:position w:val="0"/>
          <w:shd w:val="clear" w:color="auto" w:fill="auto"/>
          <w:lang w:val="ru-RU" w:eastAsia="ru-RU" w:bidi="ru-RU"/>
        </w:rPr>
        <w:t>009389Е972АА570Е22019Е7С51028В0905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F3F3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20.09.2024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14.12.2025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Исп.Челнова О.А.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63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2024-46270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804.5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9955530</wp:posOffset>
              </wp:positionV>
              <wp:extent cx="72263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2024-46270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200000000000003pt;margin-top:783.89999999999998pt;width:56.8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8.94999999999999pt;margin-top:37.5pt;width:5.29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636363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92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36363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image" Target="media/image1.jpeg"/><Relationship Id="rId9" Type="http://schemas.openxmlformats.org/officeDocument/2006/relationships/image" Target="media/image1.jpeg" TargetMode="Externa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/Relationships>
</file>