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Волгоградской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7-я Гвардейская, д. 12, г. Волгоград, 400005</w:t>
        <w:br/>
        <w:t>тел. (8442) 24-22-65, факс (8442) 24-22-76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1о34@Га8.§оу.ги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8141/24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4861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"ГК Абак-2000"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Авиамоторная, д.8, стр.12, ком.8, Москва, 111024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1:еп4ег@аЪак2000.ги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"Дирекция по обеспечению деятельности государственных учреждений здравоохранения Волгоградской области"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Туркменская, д. 6, Волгоград, 400119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дки^xVО@Vо1дапе1:.^и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 в сфере закупок Волгоградской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до8xакаx@Vо1дапе1:.^и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VО^ОООКА^_8~МЕ^ОО^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Фабрикант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Тестовская, д.10, Москва, 123112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4" w:right="949" w:bottom="1231" w:left="1140" w:header="0" w:footer="3" w:gutter="0"/>
          <w:pgNumType w:start="1"/>
          <w:cols w:num="2" w:space="720" w:equalWidth="0">
            <w:col w:w="4090" w:space="1171"/>
            <w:col w:w="455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аи44ог§@еф2.ги</w:t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6" w:right="0" w:bottom="8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034/06/105-1510/2024</w:t>
        <w:br/>
        <w:t>о нарушении законодательства о контрактной системе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846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октября 2024 года</w:t>
        <w:tab/>
        <w:t>Волгоград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Волгоградское УФАС России, Управление) по контролю за соблюдением законодательства о контрактной системе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Джафаров Р. Ш. - член Комиссии, специалист 1 разряда отдела контроля государственных и муниципальных закупок, недобросовестной конкуренции и рекламы, осуществляя рассмотрение жалобы дистанционно (посредством видеоконференц</w:t>
        <w:softHyphen/>
        <w:t>связи), с участием: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Щегольковой М.А. - представителя ООО «ГК. Абак 2000» на основании доверенности от 01.10.2024;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Черемных О.Е. - представителя ГКУ «Дирекция по обеспечению деятельности государственных учреждений здравоохранения Волгоградской области» на основании доверенности от 08.12.2023;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Недохлебова В.В. - представителя комитета по регулированию контрактной системы в сфере закупок Волгоградской области (далее - Уполномоченный орган) на основании доверенности от 11.11.2022,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«ГК «Абак-2000» (далее - Заявитель) вх. № 10138/24 от 27.09.2024 на положения извещения при проведении электронного аукциона «Поставка программно-аппаратного комплекса» (номер извещения 0129200005324002836),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официальном сайте Единой информационной системы (далее - ЕИС) 20.09.2024 было размещено извещение о проведении закупки «Поставка программно-аппаратного комплекса» (номер извещения 0129200005324002836). Начальная (максимальная) цена контракта - 88 609 500,00 рублей (далее - НМЦК).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допущены нарушения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ввиду установления ненадлежащих требований.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ссылается на п. 6.7 «Описание объекта закупки» согласно которому поставляемый товар должен быть новым, не ранее 2024 года выпуска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данное требование нарушает действующее законодательство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заказчик пояснил, что некоторые комплектующие, входящие в состав вычислительной техники, например, оперативная память, жесткий диск, закупаются производителем такой техники у третьих лиц, и в среднем имеют гарантийный срок 12 месяцев. Следовательно, товар более ранних годов выпуска имеет в своем составе комплектующие с истекшим гарантийным сроком, что влечет за собой дополнительные риски при его гарантийном обслуживании.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Далее заказчик указал, что «Установление требований к году выпуска оборудования обусловлено особенностями оборудования, а именно, в программно-аппаратном комплексе в материнских платах всех видов модулей установлены батареи, которые деградируют даже от неиспользования и соответственно могут быть полностью не рабочими или иметь маленький заряд на момент поставки, а аккумуляторные батареи не относятся к гарантийному случаю, и их придется Заказчику менять за свой счёт, а они дорогостоящие».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представитель Уполномоченного органа просил учесть сложившуюся правоприменительную практику по аналогичным обстоятельствам, например, решение ФАС России от 23.03.2023 по делу № 28/06/105-592/2023ГОЗ, согласно которому заявителем обжаловались положения извещения, в том числе, в части установления требования в отношении даты изготовления компьютерного оборудования не ранее 01.01.2023, однако довод жалобы признан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33 Закона о контрактной системе установлено, что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 при необходимости. В случае определения поставщика машин и оборудования заказчик устанавливает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 В случае определения поставщика новых машин и оборудования заказчик устанавливает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Заявителя не опроверг доводы заказчика и не представил доказательств, подтверждающих обоснованность довода, в связи с чем Комиссия приходит к выводу, что довод Заявителя не нашел своего подтверждения и является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Далее Заявитель ссылается на то, что ни один программно-аппаратный комплекс, внесенный в реестр программного обеспечения, не соответствует характеристикам программно-аппаратного комплекса, содержащихся в описании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данного довода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пунктах 6.8. и 6.9. электронного документа «Описание объекта закупки» установлены требования к программному обеспечению, а именно, что программное обеспечение должно соответствовать следующим нормативным документам: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Федеральному закону Российской Федерации от 27 июля 2006 г. ^ 149-ФЗ «Об информации, информационных технологиях и о защите информации».</w:t>
      </w:r>
    </w:p>
    <w:p>
      <w:pPr>
        <w:pStyle w:val="Style15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операционной системы в части консоли оператора комплекса по классификатору, утвержденному приказом от 22.09.2020 №486: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-02.09 Операционные системы общего назначения</w:t>
      </w:r>
    </w:p>
    <w:p>
      <w:pPr>
        <w:pStyle w:val="Style15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программного обеспечения (базовой системы ввода-вывода) в блоках вычислений (в том числе типа 1, типа 2 и типа 3) по классификатору, утвержденному приказом от 22.09.2020 №486: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01.01. Встроенные системные программы: ВЮ8, иЕН и иные встроенные системные программы.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пояснил, что согласно данным, размещенным на официальном сайте Единого реестра программного обеспечения по классу программного обеспечения 02.09 Операционные системы общего назначения в настоящем реестре содержится 47 активных записей. По классу программного обеспечения 01.01. «Встроенные системные программы: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ВЮ8, ЦЕП и иные встроенные системные программы» в реестре содержится 239 активных записей.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не пояснил в чем конкретно заключается не соответствие характеристик программно-аппаратного комплекса, установленного заказчиком, характеристикам программно-аппаратных комплексов, сведения о которых включены в реестр программного обеспечения. Также Заявитель не пояснил какие конкретно требования заказчика ограничивают соответствие программно-аппаратных комплексов из реестра программного обеспечения описанию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Доказательств, подтверждающих довод жалобы Заявитель не представил, в связи с чем довод является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объектом закупки является программно-аппаратный комплекс. Однако, программное обеспечение в составе программно-аппаратного комплекса отсутствует.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данного довода Комиссия отмечает, что как было указано ранее в пунктах 6.8. и 6.9. электронного документа «Описание объекта закупки» установлены требования к программному обеспечению, а именно, что программное обеспечение должно соответствовать следующим нормативным документам: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Федеральному закону Российской Федерации от 27 июля 2006 г. ^ 149-ФЗ «Об информации, информационных технологиях и о защите информации».</w:t>
      </w:r>
    </w:p>
    <w:p>
      <w:pPr>
        <w:pStyle w:val="Style15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операционной системы в части консоли оператора комплекса по классификатору, утвержденному приказом от 22.09.2020 №486: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-02.09 Операционные системы общего назначения</w:t>
      </w:r>
    </w:p>
    <w:p>
      <w:pPr>
        <w:pStyle w:val="Style15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программного обеспечения (базовой системы ввода-вывода) в блоках вычислений (в том числе типа 1, типа 2 и типа 3) по классификатору, утвержденному приказом от 22.09.2020 №486: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-01.01. Встроенные системные программы: ВЮ8, иЕРТ и иные встроенные системные программы.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довода Заявителя о ненадлежащем применении кода ОКПД2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6 ст. 23 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8 февраля 2017 г. ^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Правил использования каталога товаров, работ, услуг для обеспечения государственных и муниципальных нужд, каталог используется заказчиками в целях: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применения информации о товарах, работах, услугах, в том числе в: извещении об осуществлении закупки,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4 Правил использования каталога товаров, работ, услуг для обеспечения государственных и муниципальных нужд,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(далее- ПП 145),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Каталоге товаров, работ, услуг отсутствует подходящая для описания объекта закупки позиция, соответственно при подготовке описания объекта закупки Заказчик воспользовался п. 7 Правил использования каталога товаров, работ, услуг для обеспечения государственных и муниципальных нужд постановления Правительства РФ от 8 февраля 2017 г.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а именно "В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В качестве кода каталога товара, работы, услуги, на которые в каталоге отсутствует соответствующая позиция, указывая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соответствии с п. 7 Правил использования каталога при отсутствии соответствующих позиций, Заказчик указывает код товара, работы, услуги согласно ОКПД 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предмета закупки Заказчиком был применен код ОКПД 2 26.20.14.160 - «Программно-аппаратные комплексы, созданные на серверах или устройствах, содержащие в своем составе один или более вычислительных узлов».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5 ч. 4 ст. 105 Закона о контрактной системе при проведении электронных процедур жалоба может быть подана в контрольные органы в сфере закупок, предусмотренные ч. 3 ст. 105 Закона о контрактной системе, исключительно с использованием единой информационной системы путем формирования и размещения в этой системе указания на обжалуемые действия (бездействие) субъекта (субъектов) контроля, доводы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документального подтверждения довода жалобы, с точки зрения достаточности представленных доказательств, которые бы позволили сделать вывод о нарушении заказчиком законодательства о контрактной системе,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ссылается на то, что «заказчик применял одновременно и запрет по Постановлению Правительства № 1236 и ограничение допуска по Постановлению № 878, что является нарушением».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 Заявитель не поясняет какие именно положения законодательства о контрактной системе нарушены заказчиком при одновременном применении в извещении национального режима в соответствии с </w:t>
      </w:r>
      <w:r>
        <w:rPr>
          <w:color w:val="22272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Правительства РФ от 16 ноября 2015 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- Постановление № 1236), а также ограничения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допуска товаров в соответствии с Постановлением Правительства РФ № 878 от 10.07.2019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№ 878).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жалоба ООО «ГК «Абак-2000» (на положения извещения при проведении электронного аукциона «Поставка программно-аппаратного комплекса» (номер извещения 0129200005324002836) является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объявления перерыва на рассмотрение дела 04.10.2024 Заявителем представлены пояснения, которые, по его мнению, являются дополнением к настоящей жалобе и должны быть рассмотрены по существу.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из содержания указанных пояснений следует, что помимо пояснений заявленных доводов в жалобе от 27.09.2024 Заявитель представил новые доводы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указанных обстоятельств комиссия Управления учитывает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п. 1 ч. 2 ст. 105 Закона о контрактной системе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из ЕИС окончание подачи заявок при проведении закупки (номер извещения 0129200005324002836) приходится на 02.10.2024.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дополнительные доводы к жалобе ООО «ГК» Абак 2000» были представлены 04.10.2024, т.е. уже после регламентированного Законом о контрактной системе срока для обжалования положения извещения об осуществления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вышеуказанным положением Закона о контрактной системе, рассмотрение дополнительных доводов жалобы, поступившей в Управление 27.09.2024 комиссия не проводит, так как они направлены после окончания сроков подачи заявок.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проведения внеплановой проверки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ч. 3 ст.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</w:t>
      </w:r>
      <w:r>
        <w:rPr>
          <w:color w:val="1F2429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1 ст. 33 Закона о контрактной системе в описании объекта закупки указываются функциональные, технические и качественные характеристики,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извещения, заказчиком установлен, в том числе, запрет в соответствии с Постановлением № 1236.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«б» п. 3 раздела «Требования к содержанию, составу заявки и инструкции по ее заполнению» в рамках исполнения постановления Правительства РФ от 16.11.2015 №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 подтверждением соответствия программ для электронных вычислительных машин и баз данных требованиям, установленным данным постановлением,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 на программное обеспечение, указанное в описании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пунктах 6.8. и 6.9. электронного документа «Описание объекта закупки» установлены требования к программному обеспечению, а именно, что программное обеспечение должно соответствовать следующим нормативным документам: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Федеральному закону Российской Федерации от 27 июля 2006 г. ^ 149-ФЗ «Об информации, информационных технологиях и о защите информации».</w:t>
      </w:r>
    </w:p>
    <w:p>
      <w:pPr>
        <w:pStyle w:val="Style15"/>
        <w:keepNext w:val="0"/>
        <w:keepLines w:val="0"/>
        <w:widowControl w:val="0"/>
        <w:numPr>
          <w:ilvl w:val="2"/>
          <w:numId w:val="13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операционной системы в части консоли оператора комплекса по классификатору, утвержденному приказом от 22.09.2020 №486: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-02.09 Операционные системы общего назначения</w:t>
      </w:r>
    </w:p>
    <w:p>
      <w:pPr>
        <w:pStyle w:val="Style15"/>
        <w:keepNext w:val="0"/>
        <w:keepLines w:val="0"/>
        <w:widowControl w:val="0"/>
        <w:numPr>
          <w:ilvl w:val="2"/>
          <w:numId w:val="13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программного обеспечения (базовой системы ввода-вывода) в блоках вычислений (в том числе типа 1, типа 2 и типа 3) по классификатору, утвержденному приказом от 22.09.2020 №486: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- 01.01. Встроенные системные программы: ВЮ8, иЕН и иные встроенные системные программы.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с учетом предмета закупки отсутствует требование о классе программно</w:t>
        <w:softHyphen/>
        <w:t>аппаратного комплекса в соответствии с классификатором программно-аппаратных комплексов и правилами его применения, утверждаемыми Министерством цифрового развития, связи и массовых коммуникаций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22272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информация в части требований извещения о проведении закупки размещена не в полном объеме, что противоречит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3 ст. 7,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ч. 1 ст. 33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не указал, каким образом права и законные интересы ООО «ГК» Абак 2000» были нарушены с учетом факта выявленного нарушения, каким образом могут быть восстановлены его права и законные интересы, в связи с чем отсутствуют правовые основания для выдачи обязательного для исполнения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«ГК «Абак-2000» (на положения извещения при проведении электронного аукциона «Поставка программно-аппаратного комплекса» (номер извещения 0129200005324002836) необоснованной.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Заказчика - ГКУ «Дирекция по обеспечению деятельности государственных учреждений здравоохранения Волгоградской области» -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3 ст. 7,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ч. 1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не выдавать.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6" w:right="534" w:bottom="80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74650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292100</wp:posOffset>
                </wp:positionV>
                <wp:extent cx="1700530" cy="23177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23.pt;width:133.90000000000001pt;height:18.25pt;z-index:-125829375;mso-wrap-distance-left:0;mso-wrap-distance-top:23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1950" distB="0" distL="0" distR="1786255" simplePos="0" relativeHeight="125829380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361950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764540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5pt;margin-top:60.2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450215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90000000000001pt;margin-top:35.4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374650" distL="0" distR="0" simplePos="0" relativeHeight="125829381" behindDoc="0" locked="0" layoutInCell="1" allowOverlap="1">
                <wp:simplePos x="0" y="0"/>
                <wp:positionH relativeFrom="page">
                  <wp:posOffset>6153785</wp:posOffset>
                </wp:positionH>
                <wp:positionV relativeFrom="paragraph">
                  <wp:posOffset>292100</wp:posOffset>
                </wp:positionV>
                <wp:extent cx="1029970" cy="23177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55000000000001pt;margin-top:23.pt;width:81.100000000000009pt;height:18.25pt;z-index:-125829372;mso-wrap-distance-left:0;mso-wrap-distance-top:23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1F24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216876494В387АЭ35ВАВА74В088ЕЗОВ5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>14.12.2025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2678430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84999999999999pt;margin-top:11.7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А.А.Субботин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Андрей Анатольевич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2ОСС8308128ВВО75ЕЭ6Е9Е6В13А1168Е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28.12.2023 </w:t>
      </w:r>
      <w:r>
        <w:rPr>
          <w:color w:val="1F24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22.03.2025</w:t>
      </w:r>
      <w:r>
        <w:br w:type="page"/>
      </w:r>
    </w:p>
    <w:p>
      <w:pPr>
        <w:widowControl w:val="0"/>
        <w:spacing w:line="1" w:lineRule="exact"/>
      </w:pPr>
      <w:r>
        <w:drawing>
          <wp:anchor distT="69850" distB="0" distL="0" distR="1786255" simplePos="0" relativeHeight="125829384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69850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472440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5000000000002pt;margin-top:37.2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161290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9999999999999pt;margin-top:12.7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1475" distL="0" distR="0" simplePos="0" relativeHeight="125829385" behindDoc="0" locked="0" layoutInCell="1" allowOverlap="1">
                <wp:simplePos x="0" y="0"/>
                <wp:positionH relativeFrom="page">
                  <wp:posOffset>6073775</wp:posOffset>
                </wp:positionH>
                <wp:positionV relativeFrom="paragraph">
                  <wp:posOffset>0</wp:posOffset>
                </wp:positionV>
                <wp:extent cx="1115695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Р.Ш. Джафаров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8.25pt;margin-top:0;width:87.850000000000009pt;height:18.5pt;z-index:-125829368;mso-wrap-distance-left:0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Р.Ш. Джафаров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Джафаров Ровшан Ширяр_оглы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72F"/>
          <w:spacing w:val="0"/>
          <w:w w:val="100"/>
          <w:position w:val="0"/>
          <w:shd w:val="clear" w:color="auto" w:fill="auto"/>
          <w:lang w:val="ru-RU" w:eastAsia="ru-RU" w:bidi="ru-RU"/>
        </w:rPr>
        <w:t>0090ВА169А947Е304214А4033СЗА8343А8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13.09.2024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07.12.2025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Исп.Субботин А.А. тел.8(8442) 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7" w:bottom="1690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88.7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0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701675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55.2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6"/>
      <w:numFmt w:val="decimal"/>
      <w:lvlText w:val="%1."/>
    </w:lvl>
    <w:lvl w:ilvl="1">
      <w:start w:val="8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6"/>
      <w:numFmt w:val="decimal"/>
      <w:lvlText w:val="%1."/>
    </w:lvl>
    <w:lvl w:ilvl="1">
      <w:start w:val="8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6"/>
      <w:numFmt w:val="decimal"/>
      <w:lvlText w:val="%1."/>
    </w:lvl>
    <w:lvl w:ilvl="1">
      <w:start w:val="8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2429"/>
      <w:sz w:val="11"/>
      <w:szCs w:val="11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1">
    <w:name w:val="Основной текст (6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6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ind w:left="1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2429"/>
      <w:sz w:val="11"/>
      <w:szCs w:val="11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