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792480" distL="114300" distR="132715" simplePos="0" relativeHeight="125829379" behindDoc="0" locked="0" layoutInCell="1" allowOverlap="1">
                <wp:simplePos x="0" y="0"/>
                <wp:positionH relativeFrom="page">
                  <wp:posOffset>723900</wp:posOffset>
                </wp:positionH>
                <wp:positionV relativeFrom="paragraph">
                  <wp:posOffset>728980</wp:posOffset>
                </wp:positionV>
                <wp:extent cx="2578735" cy="1752600"/>
                <wp:wrapSquare wrapText="right"/>
                <wp:docPr id="3" name="Shape 3"/>
                <a:graphic xmlns:a="http://schemas.openxmlformats.org/drawingml/2006/main">
                  <a:graphicData uri="http://schemas.microsoft.com/office/word/2010/wordprocessingShape">
                    <wps:wsp>
                      <wps:cNvSpPr txBox="1"/>
                      <wps:spPr>
                        <a:xfrm>
                          <a:ext cx="2578735" cy="175260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Республике Ингушетия</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Победы, 3, корп. «С»</w:t>
                            </w:r>
                          </w:p>
                          <w:p>
                            <w:pPr>
                              <w:pStyle w:val="Style2"/>
                              <w:keepNext w:val="0"/>
                              <w:keepLines w:val="0"/>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г. Назрань, 386102</w:t>
                              <w:br/>
                              <w:t>тел./факс (8732) 22-87-28</w:t>
                              <w:br/>
                              <w:t>е-тай: 1о06@Га8.§оу.ги</w:t>
                            </w:r>
                          </w:p>
                          <w:p>
                            <w:pPr>
                              <w:pStyle w:val="Style5"/>
                              <w:keepNext w:val="0"/>
                              <w:keepLines w:val="0"/>
                              <w:widowControl w:val="0"/>
                              <w:shd w:val="clear" w:color="auto" w:fill="auto"/>
                              <w:tabs>
                                <w:tab w:leader="underscore" w:pos="1762" w:val="left"/>
                                <w:tab w:leader="underscore" w:pos="3926" w:val="left"/>
                              </w:tabs>
                              <w:bidi w:val="0"/>
                              <w:spacing w:before="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57.399999999999999pt;width:203.05000000000001pt;height:138.pt;z-index:-125829374;mso-wrap-distance-left:9.pt;mso-wrap-distance-top:56.399999999999999pt;mso-wrap-distance-right:10.450000000000001pt;mso-wrap-distance-bottom:62.39999999999999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Республике Ингушетия</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Победы, 3, корп. «С»</w:t>
                      </w:r>
                    </w:p>
                    <w:p>
                      <w:pPr>
                        <w:pStyle w:val="Style2"/>
                        <w:keepNext w:val="0"/>
                        <w:keepLines w:val="0"/>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г. Назрань, 386102</w:t>
                        <w:br/>
                        <w:t>тел./факс (8732) 22-87-28</w:t>
                        <w:br/>
                        <w:t>е-тай: 1о06@Га8.§оу.ги</w:t>
                      </w:r>
                    </w:p>
                    <w:p>
                      <w:pPr>
                        <w:pStyle w:val="Style5"/>
                        <w:keepNext w:val="0"/>
                        <w:keepLines w:val="0"/>
                        <w:widowControl w:val="0"/>
                        <w:shd w:val="clear" w:color="auto" w:fill="auto"/>
                        <w:tabs>
                          <w:tab w:leader="underscore" w:pos="1762" w:val="left"/>
                          <w:tab w:leader="underscore" w:pos="3926" w:val="left"/>
                        </w:tabs>
                        <w:bidi w:val="0"/>
                        <w:spacing w:before="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ab/>
                        <w:t xml:space="preserve"> №</w:t>
                        <w:tab/>
                      </w:r>
                    </w:p>
                  </w:txbxContent>
                </v:textbox>
                <w10:wrap type="square" side="right" anchorx="page"/>
              </v:shape>
            </w:pict>
          </mc:Fallback>
        </mc:AlternateContent>
      </w:r>
      <w:r>
        <w:drawing>
          <wp:anchor distT="3081020" distB="0" distL="117475" distR="114300" simplePos="0" relativeHeight="125829381" behindDoc="0" locked="0" layoutInCell="1" allowOverlap="1">
            <wp:simplePos x="0" y="0"/>
            <wp:positionH relativeFrom="page">
              <wp:posOffset>727075</wp:posOffset>
            </wp:positionH>
            <wp:positionV relativeFrom="paragraph">
              <wp:posOffset>3093720</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723900</wp:posOffset>
                </wp:positionH>
                <wp:positionV relativeFrom="paragraph">
                  <wp:posOffset>2658110</wp:posOffset>
                </wp:positionV>
                <wp:extent cx="2578735" cy="130810"/>
                <wp:wrapNone/>
                <wp:docPr id="7" name="Shape 7"/>
                <a:graphic xmlns:a="http://schemas.openxmlformats.org/drawingml/2006/main">
                  <a:graphicData uri="http://schemas.microsoft.com/office/word/2010/wordprocessingShape">
                    <wps:wsp>
                      <wps:cNvSpPr txBox="1"/>
                      <wps:spPr>
                        <a:xfrm>
                          <a:ext cx="2578735" cy="130810"/>
                        </a:xfrm>
                        <a:prstGeom prst="rect"/>
                        <a:noFill/>
                      </wps:spPr>
                      <wps:txbx>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wps:txbx>
                      <wps:bodyPr lIns="0" tIns="0" rIns="0" bIns="0">
                        <a:noAutoFit/>
                      </wps:bodyPr>
                    </wps:wsp>
                  </a:graphicData>
                </a:graphic>
              </wp:anchor>
            </w:drawing>
          </mc:Choice>
          <mc:Fallback>
            <w:pict>
              <v:shape id="_x0000_s1033" type="#_x0000_t202" style="position:absolute;margin-left:57.pt;margin-top:209.30000000000001pt;width:203.05000000000001pt;height:10.300000000000001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v:textbox>
                <w10:wrap anchorx="page"/>
              </v:shape>
            </w:pict>
          </mc:Fallback>
        </mc:AlternateContent>
      </w:r>
      <w:r>
        <w:drawing>
          <wp:anchor distT="63500" distB="0" distL="114300" distR="114300" simplePos="0" relativeHeight="125829382" behindDoc="0" locked="0" layoutInCell="1" allowOverlap="1">
            <wp:simplePos x="0" y="0"/>
            <wp:positionH relativeFrom="page">
              <wp:posOffset>717550</wp:posOffset>
            </wp:positionH>
            <wp:positionV relativeFrom="paragraph">
              <wp:posOffset>9262745</wp:posOffset>
            </wp:positionV>
            <wp:extent cx="1517650" cy="29273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1517650" cy="292735"/>
                    </a:xfrm>
                    <a:prstGeom prst="rect"/>
                  </pic:spPr>
                </pic:pic>
              </a:graphicData>
            </a:graphic>
          </wp:anchor>
        </w:drawing>
      </w:r>
    </w:p>
    <w:p>
      <w:pPr>
        <w:pStyle w:val="Style10"/>
        <w:keepNext w:val="0"/>
        <w:keepLines w:val="0"/>
        <w:widowControl w:val="0"/>
        <w:shd w:val="clear" w:color="auto" w:fill="auto"/>
        <w:bidi w:val="0"/>
        <w:spacing w:before="0" w:after="280" w:line="240" w:lineRule="auto"/>
        <w:ind w:left="1020" w:right="0" w:firstLine="0"/>
        <w:jc w:val="left"/>
      </w:pPr>
      <w:r>
        <w:rPr>
          <w:color w:val="000000"/>
          <w:spacing w:val="0"/>
          <w:w w:val="100"/>
          <w:position w:val="0"/>
          <w:shd w:val="clear" w:color="auto" w:fill="auto"/>
          <w:lang w:val="ru-RU" w:eastAsia="ru-RU" w:bidi="ru-RU"/>
        </w:rPr>
        <w:t>ГБУ «Республиканский онкологический диспансер» дЬигос1п@таП .ги</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ООО "МФК Арфа"</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109429, г.Москва, Дорога МКАД 14 км, дом 10, комн. 432Б</w:t>
      </w:r>
    </w:p>
    <w:p>
      <w:pPr>
        <w:pStyle w:val="Style10"/>
        <w:keepNext w:val="0"/>
        <w:keepLines w:val="0"/>
        <w:widowControl w:val="0"/>
        <w:shd w:val="clear" w:color="auto" w:fill="auto"/>
        <w:bidi w:val="0"/>
        <w:spacing w:before="0" w:after="280" w:line="240" w:lineRule="auto"/>
        <w:ind w:left="1020" w:right="0" w:firstLine="0"/>
        <w:jc w:val="left"/>
      </w:pPr>
      <w:r>
        <w:rPr>
          <w:color w:val="000000"/>
          <w:spacing w:val="0"/>
          <w:w w:val="100"/>
          <w:position w:val="0"/>
          <w:shd w:val="clear" w:color="auto" w:fill="auto"/>
          <w:lang w:val="ru-RU" w:eastAsia="ru-RU" w:bidi="ru-RU"/>
        </w:rPr>
        <w:t>тГо@т!к-а1Та.г</w:t>
      </w:r>
      <w:r>
        <w:rPr>
          <w:color w:val="000000"/>
          <w:spacing w:val="0"/>
          <w:w w:val="100"/>
          <w:position w:val="0"/>
          <w:shd w:val="clear" w:color="auto" w:fill="auto"/>
          <w:vertAlign w:val="superscript"/>
          <w:lang w:val="ru-RU" w:eastAsia="ru-RU" w:bidi="ru-RU"/>
        </w:rPr>
        <w:t>,</w:t>
      </w:r>
      <w:r>
        <w:rPr>
          <w:color w:val="000000"/>
          <w:spacing w:val="0"/>
          <w:w w:val="100"/>
          <w:position w:val="0"/>
          <w:shd w:val="clear" w:color="auto" w:fill="auto"/>
          <w:lang w:val="ru-RU" w:eastAsia="ru-RU" w:bidi="ru-RU"/>
        </w:rPr>
        <w:t>и</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КОМИТЕТ ГОСЗАКАЗА</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ИНГУШЕТИИ</w:t>
      </w:r>
    </w:p>
    <w:p>
      <w:pPr>
        <w:pStyle w:val="Style10"/>
        <w:keepNext w:val="0"/>
        <w:keepLines w:val="0"/>
        <w:widowControl w:val="0"/>
        <w:shd w:val="clear" w:color="auto" w:fill="auto"/>
        <w:bidi w:val="0"/>
        <w:spacing w:before="0" w:after="280" w:line="240" w:lineRule="auto"/>
        <w:ind w:left="1020" w:right="0" w:firstLine="0"/>
        <w:jc w:val="left"/>
      </w:pPr>
      <w:r>
        <w:rPr>
          <w:color w:val="000000"/>
          <w:spacing w:val="0"/>
          <w:w w:val="100"/>
          <w:position w:val="0"/>
          <w:shd w:val="clear" w:color="auto" w:fill="auto"/>
          <w:lang w:val="ru-RU" w:eastAsia="ru-RU" w:bidi="ru-RU"/>
        </w:rPr>
        <w:t>хакатп@тай.ги, xауаVкап@та^1.^и</w:t>
      </w:r>
    </w:p>
    <w:p>
      <w:pPr>
        <w:pStyle w:val="Style10"/>
        <w:keepNext w:val="0"/>
        <w:keepLines w:val="0"/>
        <w:widowControl w:val="0"/>
        <w:shd w:val="clear" w:color="auto" w:fill="auto"/>
        <w:bidi w:val="0"/>
        <w:spacing w:before="0" w:after="1340" w:line="240" w:lineRule="auto"/>
        <w:ind w:left="5320" w:right="0" w:hanging="4300"/>
        <w:jc w:val="left"/>
      </w:pPr>
      <w:r>
        <w:rPr>
          <w:color w:val="000000"/>
          <w:spacing w:val="0"/>
          <w:w w:val="100"/>
          <w:position w:val="0"/>
          <w:shd w:val="clear" w:color="auto" w:fill="auto"/>
          <w:lang w:val="ru-RU" w:eastAsia="ru-RU" w:bidi="ru-RU"/>
        </w:rPr>
        <w:t>АО «ЕЭТП» ко@го§екогд.ги</w:t>
      </w:r>
    </w:p>
    <w:p>
      <w:pPr>
        <w:pStyle w:val="Style10"/>
        <w:keepNext w:val="0"/>
        <w:keepLines w:val="0"/>
        <w:widowControl w:val="0"/>
        <w:shd w:val="clear" w:color="auto" w:fill="auto"/>
        <w:bidi w:val="0"/>
        <w:spacing w:before="0" w:after="80" w:line="240" w:lineRule="auto"/>
        <w:ind w:left="0" w:right="0" w:firstLine="0"/>
        <w:jc w:val="center"/>
      </w:pPr>
      <w:r>
        <w:rPr>
          <w:color w:val="000000"/>
          <w:spacing w:val="0"/>
          <w:w w:val="100"/>
          <w:position w:val="0"/>
          <w:shd w:val="clear" w:color="auto" w:fill="auto"/>
          <w:lang w:val="ru-RU" w:eastAsia="ru-RU" w:bidi="ru-RU"/>
        </w:rPr>
        <w:t>РЕШЕНИЕ</w:t>
      </w:r>
    </w:p>
    <w:p>
      <w:pPr>
        <w:pStyle w:val="Style1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по делу № 006/06/105-515/2024 о нарушении</w:t>
        <w:br/>
        <w:t>законодательства о контрактной системе</w:t>
      </w:r>
    </w:p>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Назрань</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Резолютивная часть решения объявлена 04 октября 2024 года</w:t>
      </w:r>
    </w:p>
    <w:p>
      <w:pPr>
        <w:pStyle w:val="Style10"/>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В полном объеме решение изготовлено 09 октября 2024 года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Ингушетия (далее - Управление) по контролю в сфере закупок (далее - Комиссия Управления) в составе: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 комиссии: Б.Б. Точиев - Руководитель Управления;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Члены комиссии: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А.А. Аушев - начальник отдела контроля торгов Управления;</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А.Б. Торшкоев - ведущий специалист-эксперт Управления.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отсутствии представителей: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заказчика - ГБУ «РОД» (далее - Заказчик);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заявителя жалобы - ООО «МФК «Арфа» (далее - Заявитель);</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уполномоченного органа - Комитета государственного заказа Республики Ингушетия (далее - Уполномоченный орган);</w:t>
      </w:r>
    </w:p>
    <w:p>
      <w:pPr>
        <w:pStyle w:val="Style10"/>
        <w:keepNext w:val="0"/>
        <w:keepLines w:val="0"/>
        <w:widowControl w:val="0"/>
        <w:shd w:val="clear" w:color="auto" w:fill="auto"/>
        <w:bidi w:val="0"/>
        <w:spacing w:before="0" w:after="280" w:line="240" w:lineRule="auto"/>
        <w:ind w:left="0" w:right="0" w:firstLine="720"/>
        <w:jc w:val="both"/>
        <w:sectPr>
          <w:footerReference w:type="default" r:id="rId11"/>
          <w:footnotePr>
            <w:pos w:val="pageBottom"/>
            <w:numFmt w:val="decimal"/>
            <w:numRestart w:val="continuous"/>
          </w:footnotePr>
          <w:pgSz w:w="11900" w:h="16840"/>
          <w:pgMar w:top="284" w:right="546" w:bottom="1313" w:left="1106" w:header="0" w:footer="3" w:gutter="0"/>
          <w:pgNumType w:start="1"/>
          <w:cols w:space="720"/>
          <w:noEndnote/>
          <w:rtlGutter w:val="0"/>
          <w:docGrid w:linePitch="360"/>
        </w:sectPr>
      </w:pPr>
      <w:r>
        <w:rPr>
          <w:color w:val="000000"/>
          <w:spacing w:val="0"/>
          <w:w w:val="100"/>
          <w:position w:val="0"/>
          <w:shd w:val="clear" w:color="auto" w:fill="auto"/>
          <w:lang w:val="ru-RU" w:eastAsia="ru-RU" w:bidi="ru-RU"/>
        </w:rPr>
        <w:t>Все стороны уведомлены надлежащим образом, заявлений и ходатайств не поступало.</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Рассмотрев жалобу Заявителя на действия (бездействия) Заказчика и Уполномоченного органа) при проведении процедуры закупки № 0114500000824001919 (объект закупки: поставка лекарственных средств) (далее - Закупка), выразившиеся в нарушении норм Федерального закона №44-ФЗ от 05.04.2013г. «О контрактной системе в сфере закупок товаров, работ, услуг для обеспечения государственных и муниципальных нужд» (далее - Закон о контрактной системе), проведя внеплановую проверку в соответствии со статьями 99 и 106 Закона о контрактной системе,</w:t>
      </w:r>
    </w:p>
    <w:p>
      <w:pPr>
        <w:pStyle w:val="Style1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Уполномоченным органом в единой информационной системе в сети Интернет по размещению информации о размещении заказов \\'\\л\'./а1&lt;ир1&lt;1.до\'.П1 (далее - ЕИС) размещено извещение о проведении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жалобе Заказчиком нарушен порядок определения победителя торгов.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03.10.2024 Комиссией Управления был объявлен перерыв в рассмотрении жалобы и проведении внеплановой проверки до 04.10.2024.</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10"/>
        <w:keepNext w:val="0"/>
        <w:keepLines w:val="0"/>
        <w:widowControl w:val="0"/>
        <w:numPr>
          <w:ilvl w:val="0"/>
          <w:numId w:val="1"/>
        </w:numPr>
        <w:shd w:val="clear" w:color="auto" w:fill="auto"/>
        <w:tabs>
          <w:tab w:pos="110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извещение об осуществлении закупки размещено в ЕИС - 17.09.2024;</w:t>
      </w:r>
    </w:p>
    <w:p>
      <w:pPr>
        <w:pStyle w:val="Style10"/>
        <w:keepNext w:val="0"/>
        <w:keepLines w:val="0"/>
        <w:widowControl w:val="0"/>
        <w:numPr>
          <w:ilvl w:val="0"/>
          <w:numId w:val="1"/>
        </w:numPr>
        <w:shd w:val="clear" w:color="auto" w:fill="auto"/>
        <w:tabs>
          <w:tab w:pos="111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способ определения поставщика (подрядчика, исполнителя) - электронный аукцион;</w:t>
      </w:r>
    </w:p>
    <w:p>
      <w:pPr>
        <w:pStyle w:val="Style10"/>
        <w:keepNext w:val="0"/>
        <w:keepLines w:val="0"/>
        <w:widowControl w:val="0"/>
        <w:numPr>
          <w:ilvl w:val="0"/>
          <w:numId w:val="1"/>
        </w:numPr>
        <w:shd w:val="clear" w:color="auto" w:fill="auto"/>
        <w:tabs>
          <w:tab w:pos="112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- 533 800,00 рублей;</w:t>
      </w:r>
    </w:p>
    <w:p>
      <w:pPr>
        <w:pStyle w:val="Style10"/>
        <w:keepNext w:val="0"/>
        <w:keepLines w:val="0"/>
        <w:widowControl w:val="0"/>
        <w:numPr>
          <w:ilvl w:val="0"/>
          <w:numId w:val="1"/>
        </w:numPr>
        <w:shd w:val="clear" w:color="auto" w:fill="auto"/>
        <w:tabs>
          <w:tab w:pos="112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подачи заявок - 25.09.2024 09:00;</w:t>
      </w:r>
    </w:p>
    <w:p>
      <w:pPr>
        <w:pStyle w:val="Style10"/>
        <w:keepNext w:val="0"/>
        <w:keepLines w:val="0"/>
        <w:widowControl w:val="0"/>
        <w:numPr>
          <w:ilvl w:val="0"/>
          <w:numId w:val="1"/>
        </w:numPr>
        <w:shd w:val="clear" w:color="auto" w:fill="auto"/>
        <w:tabs>
          <w:tab w:pos="1120" w:val="left"/>
        </w:tabs>
        <w:bidi w:val="0"/>
        <w:spacing w:before="0" w:after="280" w:line="240" w:lineRule="auto"/>
        <w:ind w:left="0" w:right="0" w:firstLine="7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- 26.09.2024.</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Изучив представленные документы и материалы, руководствуясь статьей 106 Закона о контрактной системе, Комиссия Управления пришла к следующим выводам.</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1. </w:t>
      </w:r>
      <w:r>
        <w:rPr>
          <w:color w:val="000000"/>
          <w:spacing w:val="0"/>
          <w:w w:val="100"/>
          <w:position w:val="0"/>
          <w:shd w:val="clear" w:color="auto" w:fill="auto"/>
          <w:lang w:val="ru-RU" w:eastAsia="ru-RU" w:bidi="ru-RU"/>
        </w:rPr>
        <w:t>Согласно подпункту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pPr>
        <w:pStyle w:val="Style10"/>
        <w:keepNext w:val="0"/>
        <w:keepLines w:val="0"/>
        <w:widowControl w:val="0"/>
        <w:shd w:val="clear" w:color="auto" w:fill="auto"/>
        <w:bidi w:val="0"/>
        <w:spacing w:before="0" w:after="280" w:line="283" w:lineRule="auto"/>
        <w:ind w:left="0" w:right="0" w:firstLine="720"/>
        <w:jc w:val="both"/>
        <w:rPr>
          <w:sz w:val="24"/>
          <w:szCs w:val="24"/>
        </w:rPr>
      </w:pPr>
      <w:r>
        <w:rPr>
          <w:color w:val="000000"/>
          <w:spacing w:val="0"/>
          <w:w w:val="100"/>
          <w:position w:val="0"/>
          <w:sz w:val="28"/>
          <w:szCs w:val="28"/>
          <w:shd w:val="clear" w:color="auto" w:fill="auto"/>
          <w:lang w:val="ru-RU" w:eastAsia="ru-RU" w:bidi="ru-RU"/>
        </w:rPr>
        <w:t xml:space="preserve">В соответствии с пунктом 4 части 12 статьи 48 Закона о контрактной системе при рассмотрении вторых частей заявок на участие в закупке соответствующая </w:t>
      </w:r>
      <w:r>
        <w:rPr>
          <w:color w:val="000000"/>
          <w:spacing w:val="0"/>
          <w:w w:val="100"/>
          <w:position w:val="0"/>
          <w:sz w:val="24"/>
          <w:szCs w:val="24"/>
          <w:shd w:val="clear" w:color="auto" w:fill="auto"/>
          <w:lang w:val="ru-RU" w:eastAsia="ru-RU" w:bidi="ru-RU"/>
        </w:rPr>
        <w:t>2024-3318</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заявка подлежит отклонению в случаях, 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0"/>
        <w:keepNext w:val="0"/>
        <w:keepLines w:val="0"/>
        <w:widowControl w:val="0"/>
        <w:shd w:val="clear" w:color="auto" w:fill="auto"/>
        <w:bidi w:val="0"/>
        <w:spacing w:before="0" w:after="0" w:line="240" w:lineRule="auto"/>
        <w:ind w:left="0" w:right="0" w:firstLine="720"/>
        <w:jc w:val="both"/>
        <w:rPr>
          <w:sz w:val="24"/>
          <w:szCs w:val="24"/>
        </w:rPr>
      </w:pPr>
      <w:r>
        <w:rPr>
          <w:color w:val="000000"/>
          <w:spacing w:val="0"/>
          <w:w w:val="100"/>
          <w:position w:val="0"/>
          <w:sz w:val="28"/>
          <w:szCs w:val="28"/>
          <w:shd w:val="clear" w:color="auto" w:fill="auto"/>
          <w:lang w:val="ru-RU" w:eastAsia="ru-RU" w:bidi="ru-RU"/>
        </w:rPr>
        <w:t xml:space="preserve">При этом пунктом 1 Постановления Правительства РФ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№1289) установлено, что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w:t>
      </w:r>
      <w:r>
        <w:rPr>
          <w:color w:val="000000"/>
          <w:spacing w:val="0"/>
          <w:w w:val="100"/>
          <w:position w:val="0"/>
          <w:sz w:val="24"/>
          <w:szCs w:val="24"/>
          <w:shd w:val="clear" w:color="auto" w:fill="auto"/>
          <w:lang w:val="ru-RU" w:eastAsia="ru-RU" w:bidi="ru-RU"/>
        </w:rPr>
        <w:t>2024-3318</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Народная Республика,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жалобе Заказчиком нарушен порядок определения победителя торгов вследствие ненадлежащего применения национального режима.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Комиссией Управления установлено, что извещением Закупки не предусмотрены ограничения согласно Постановлению №1289.</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указанных обстоятельствах аукционная комиссия не обязана руководствоваться положениями национального режима согласно Постановлению №1289, так как такие ограничения не установлены Заказчиком в извещении Закупки.</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В силу вышеуказанного Комиссией Управления жалоба признана необоснованной.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ходе проведения внеплановой проверки Комиссией Управления установлены следующее нарушение требований Закона о контрактной системе не выявлено.</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ru-RU" w:eastAsia="ru-RU" w:bidi="ru-RU"/>
        </w:rPr>
        <w:t>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15 части 1 статьи 42 Закона о контрактной системе извещение закупки должно содержать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10"/>
        <w:keepNext w:val="0"/>
        <w:keepLines w:val="0"/>
        <w:widowControl w:val="0"/>
        <w:shd w:val="clear" w:color="auto" w:fill="auto"/>
        <w:bidi w:val="0"/>
        <w:spacing w:before="0" w:after="0" w:line="240" w:lineRule="auto"/>
        <w:ind w:left="0" w:right="0" w:firstLine="720"/>
        <w:jc w:val="both"/>
        <w:rPr>
          <w:sz w:val="24"/>
          <w:szCs w:val="24"/>
        </w:rPr>
        <w:sectPr>
          <w:headerReference w:type="default" r:id="rId12"/>
          <w:footerReference w:type="default" r:id="rId13"/>
          <w:footnotePr>
            <w:pos w:val="pageBottom"/>
            <w:numFmt w:val="decimal"/>
            <w:numRestart w:val="continuous"/>
          </w:footnotePr>
          <w:pgSz w:w="11900" w:h="16840"/>
          <w:pgMar w:top="1705" w:right="539" w:bottom="788" w:left="1104" w:header="0" w:footer="360"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w:t>
      </w:r>
      <w:r>
        <w:rPr>
          <w:color w:val="000000"/>
          <w:spacing w:val="0"/>
          <w:w w:val="100"/>
          <w:position w:val="0"/>
          <w:sz w:val="24"/>
          <w:szCs w:val="24"/>
          <w:shd w:val="clear" w:color="auto" w:fill="auto"/>
          <w:lang w:val="ru-RU" w:eastAsia="ru-RU" w:bidi="ru-RU"/>
        </w:rPr>
        <w:t>2024-3318</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 Постановления №1289 установлено, что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Народная Республика,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объектом Закупки является поставка лекарственного препарата, включенного в перечень жизненно необходимых и важнейших лекарственных препаратов, с МНН Севофлуран (жидкость для ингаляций).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указанных обстоятельствах при размещении закупки необходимо установить ограничения согласно Постановлению №1289.</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Вместе с тем, в нарушение требование пункта 15 части 1 статьи 42, части 3 статьи 14 и положений Постановления №1289 Заказчиком/Уполномоченным органом при размещении Закупки не установлены ограничения согласно национального режима.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Исходя из изложенного, информации, представленной Заявителем, Заказчиком, а также информации, полученной Комиссией Управления при проведении внеплановой проверки, Комиссия, руководствуясь</w:t>
      </w:r>
      <w:r>
        <w:rPr>
          <w:color w:val="000000"/>
          <w:spacing w:val="0"/>
          <w:w w:val="100"/>
          <w:position w:val="0"/>
          <w:shd w:val="clear" w:color="auto" w:fill="auto"/>
          <w:lang w:val="ru-RU" w:eastAsia="ru-RU" w:bidi="ru-RU"/>
        </w:rPr>
        <w:t xml:space="preserve"> </w:t>
      </w:r>
      <w:r>
        <w:rPr>
          <w:color w:val="000080"/>
          <w:spacing w:val="0"/>
          <w:w w:val="100"/>
          <w:position w:val="0"/>
          <w:u w:val="single"/>
          <w:shd w:val="clear" w:color="auto" w:fill="auto"/>
          <w:lang w:val="ru-RU" w:eastAsia="ru-RU" w:bidi="ru-RU"/>
        </w:rPr>
        <w:t>статьями 99</w:t>
      </w:r>
      <w:r>
        <w:rPr>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w:t>
      </w:r>
      <w:r>
        <w:rPr>
          <w:color w:val="000080"/>
          <w:spacing w:val="0"/>
          <w:w w:val="100"/>
          <w:position w:val="0"/>
          <w:u w:val="single"/>
          <w:shd w:val="clear" w:color="auto" w:fill="auto"/>
          <w:lang w:val="ru-RU" w:eastAsia="ru-RU" w:bidi="ru-RU"/>
        </w:rPr>
        <w:t>106</w:t>
      </w:r>
      <w:r>
        <w:rPr>
          <w:color w:val="00008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Закона о контрактной системе,</w:t>
      </w:r>
    </w:p>
    <w:p>
      <w:pPr>
        <w:pStyle w:val="Style1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РЕШИЛА:</w:t>
      </w:r>
    </w:p>
    <w:p>
      <w:pPr>
        <w:pStyle w:val="Style10"/>
        <w:keepNext w:val="0"/>
        <w:keepLines w:val="0"/>
        <w:widowControl w:val="0"/>
        <w:numPr>
          <w:ilvl w:val="0"/>
          <w:numId w:val="3"/>
        </w:numPr>
        <w:shd w:val="clear" w:color="auto" w:fill="auto"/>
        <w:tabs>
          <w:tab w:pos="107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ООО «МФК «Арфа» необоснованной.</w:t>
      </w:r>
    </w:p>
    <w:p>
      <w:pPr>
        <w:pStyle w:val="Style10"/>
        <w:keepNext w:val="0"/>
        <w:keepLines w:val="0"/>
        <w:widowControl w:val="0"/>
        <w:numPr>
          <w:ilvl w:val="0"/>
          <w:numId w:val="3"/>
        </w:numPr>
        <w:shd w:val="clear" w:color="auto" w:fill="auto"/>
        <w:tabs>
          <w:tab w:pos="109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в действиях Заказчика/Уполномоченного органа нарушение требование пункта 15 части 1 статьи 42, части 3 статьи 14 и положений Постановления Правительства РФ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p>
      <w:pPr>
        <w:pStyle w:val="Style10"/>
        <w:keepNext w:val="0"/>
        <w:keepLines w:val="0"/>
        <w:widowControl w:val="0"/>
        <w:numPr>
          <w:ilvl w:val="0"/>
          <w:numId w:val="3"/>
        </w:numPr>
        <w:shd w:val="clear" w:color="auto" w:fill="auto"/>
        <w:tabs>
          <w:tab w:pos="109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Выдать обязательное для исполнения предписание.</w:t>
      </w:r>
    </w:p>
    <w:p>
      <w:pPr>
        <w:pStyle w:val="Style10"/>
        <w:keepNext w:val="0"/>
        <w:keepLines w:val="0"/>
        <w:widowControl w:val="0"/>
        <w:numPr>
          <w:ilvl w:val="0"/>
          <w:numId w:val="3"/>
        </w:numPr>
        <w:shd w:val="clear" w:color="auto" w:fill="auto"/>
        <w:tabs>
          <w:tab w:pos="109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Передать материалы дела должностному лицу Управления для решения вопроса о привлечении виновных должностных лиц к административной ответственности.</w:t>
      </w:r>
    </w:p>
    <w:p>
      <w:pPr>
        <w:pStyle w:val="Style10"/>
        <w:keepNext w:val="0"/>
        <w:keepLines w:val="0"/>
        <w:widowControl w:val="0"/>
        <w:numPr>
          <w:ilvl w:val="0"/>
          <w:numId w:val="3"/>
        </w:numPr>
        <w:shd w:val="clear" w:color="auto" w:fill="auto"/>
        <w:tabs>
          <w:tab w:pos="1093" w:val="left"/>
        </w:tabs>
        <w:bidi w:val="0"/>
        <w:spacing w:before="0" w:after="280" w:line="240" w:lineRule="auto"/>
        <w:ind w:left="0" w:right="0" w:firstLine="720"/>
        <w:jc w:val="both"/>
      </w:pPr>
      <w:r>
        <w:rPr>
          <w:color w:val="000000"/>
          <w:spacing w:val="0"/>
          <w:w w:val="100"/>
          <w:position w:val="0"/>
          <w:shd w:val="clear" w:color="auto" w:fill="auto"/>
          <w:lang w:val="ru-RU" w:eastAsia="ru-RU" w:bidi="ru-RU"/>
        </w:rPr>
        <w:t>В соответствии со статьи 106 Закона о контрактной системе направить настоящее решение сторонам.</w:t>
      </w:r>
    </w:p>
    <w:p>
      <w:pPr>
        <w:pStyle w:val="Style10"/>
        <w:keepNext w:val="0"/>
        <w:keepLines w:val="0"/>
        <w:widowControl w:val="0"/>
        <w:shd w:val="clear" w:color="auto" w:fill="auto"/>
        <w:tabs>
          <w:tab w:pos="7762" w:val="left"/>
        </w:tabs>
        <w:bidi w:val="0"/>
        <w:spacing w:before="0" w:after="600" w:line="240" w:lineRule="auto"/>
        <w:ind w:left="0" w:right="0" w:firstLine="720"/>
        <w:jc w:val="both"/>
      </w:pPr>
      <w:r>
        <w:rPr>
          <w:color w:val="000000"/>
          <w:spacing w:val="0"/>
          <w:w w:val="100"/>
          <w:position w:val="0"/>
          <w:shd w:val="clear" w:color="auto" w:fill="auto"/>
          <w:lang w:val="ru-RU" w:eastAsia="ru-RU" w:bidi="ru-RU"/>
        </w:rPr>
        <w:t>Председатель Комиссии:</w:t>
        <w:tab/>
        <w:t>Б.Б. Точиев</w:t>
      </w:r>
    </w:p>
    <w:p>
      <w:pPr>
        <w:pStyle w:val="Style10"/>
        <w:keepNext w:val="0"/>
        <w:keepLines w:val="0"/>
        <w:widowControl w:val="0"/>
        <w:shd w:val="clear" w:color="auto" w:fill="auto"/>
        <w:tabs>
          <w:tab w:pos="7762" w:val="left"/>
        </w:tabs>
        <w:bidi w:val="0"/>
        <w:spacing w:before="0" w:after="600" w:line="240" w:lineRule="auto"/>
        <w:ind w:left="0" w:right="0" w:firstLine="720"/>
        <w:jc w:val="both"/>
      </w:pPr>
      <w:r>
        <w:rPr>
          <w:color w:val="000000"/>
          <w:spacing w:val="0"/>
          <w:w w:val="100"/>
          <w:position w:val="0"/>
          <w:shd w:val="clear" w:color="auto" w:fill="auto"/>
          <w:lang w:val="ru-RU" w:eastAsia="ru-RU" w:bidi="ru-RU"/>
        </w:rPr>
        <w:t>Члены комиссии:</w:t>
        <w:tab/>
        <w:t>А.А. Аушев</w:t>
      </w:r>
    </w:p>
    <w:p>
      <w:pPr>
        <w:pStyle w:val="Style10"/>
        <w:keepNext w:val="0"/>
        <w:keepLines w:val="0"/>
        <w:widowControl w:val="0"/>
        <w:shd w:val="clear" w:color="auto" w:fill="auto"/>
        <w:bidi w:val="0"/>
        <w:spacing w:before="0" w:after="1820" w:line="240" w:lineRule="auto"/>
        <w:ind w:left="0" w:right="680" w:firstLine="0"/>
        <w:jc w:val="right"/>
      </w:pPr>
      <w:r>
        <w:rPr>
          <w:color w:val="000000"/>
          <w:spacing w:val="0"/>
          <w:w w:val="100"/>
          <w:position w:val="0"/>
          <w:shd w:val="clear" w:color="auto" w:fill="auto"/>
          <w:lang w:val="ru-RU" w:eastAsia="ru-RU" w:bidi="ru-RU"/>
        </w:rPr>
        <w:t>А.Б. Торшкоев</w:t>
      </w:r>
    </w:p>
    <w:p>
      <w:pPr>
        <w:pStyle w:val="Style20"/>
        <w:keepNext w:val="0"/>
        <w:keepLines w:val="0"/>
        <w:widowControl w:val="0"/>
        <w:shd w:val="clear" w:color="auto" w:fill="auto"/>
        <w:bidi w:val="0"/>
        <w:spacing w:before="0" w:line="240" w:lineRule="auto"/>
        <w:ind w:left="0" w:right="0"/>
        <w:jc w:val="both"/>
      </w:pPr>
      <w:r>
        <w:rPr>
          <w:color w:val="000000"/>
          <w:spacing w:val="0"/>
          <w:w w:val="100"/>
          <w:position w:val="0"/>
          <w:sz w:val="24"/>
          <w:szCs w:val="24"/>
          <w:shd w:val="clear" w:color="auto" w:fill="auto"/>
          <w:lang w:val="ru-RU" w:eastAsia="ru-RU" w:bidi="ru-RU"/>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sectPr>
      <w:headerReference w:type="default" r:id="rId14"/>
      <w:footerReference w:type="default" r:id="rId15"/>
      <w:footnotePr>
        <w:pos w:val="pageBottom"/>
        <w:numFmt w:val="decimal"/>
        <w:numRestart w:val="continuous"/>
      </w:footnotePr>
      <w:pgSz w:w="11900" w:h="16840"/>
      <w:pgMar w:top="1710" w:right="535" w:bottom="1211" w:left="1103"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46430" cy="100330"/>
              <wp:wrapNone/>
              <wp:docPr id="11" name="Shape 11"/>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2024-3318</w:t>
                          </w:r>
                        </w:p>
                      </w:txbxContent>
                    </wps:txbx>
                    <wps:bodyPr wrap="none" lIns="0" tIns="0" rIns="0" bIns="0">
                      <a:spAutoFit/>
                    </wps:bodyPr>
                  </wps:wsp>
                </a:graphicData>
              </a:graphic>
            </wp:anchor>
          </w:drawing>
        </mc:Choice>
        <mc:Fallback>
          <w:pict>
            <v:shape id="_x0000_s1037" type="#_x0000_t202" style="position:absolute;margin-left:57.pt;margin-top:776.20000000000005pt;width:50.8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2024-3318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721360</wp:posOffset>
              </wp:positionH>
              <wp:positionV relativeFrom="page">
                <wp:posOffset>10016490</wp:posOffset>
              </wp:positionV>
              <wp:extent cx="646430" cy="100330"/>
              <wp:wrapNone/>
              <wp:docPr id="17" name="Shape 17"/>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2024-3318</w:t>
                          </w:r>
                        </w:p>
                      </w:txbxContent>
                    </wps:txbx>
                    <wps:bodyPr wrap="none" lIns="0" tIns="0" rIns="0" bIns="0">
                      <a:spAutoFit/>
                    </wps:bodyPr>
                  </wps:wsp>
                </a:graphicData>
              </a:graphic>
            </wp:anchor>
          </w:drawing>
        </mc:Choice>
        <mc:Fallback>
          <w:pict>
            <v:shape id="_x0000_s1043" type="#_x0000_t202" style="position:absolute;margin-left:56.800000000000004pt;margin-top:788.70000000000005pt;width:50.89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2024-3318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3919855</wp:posOffset>
              </wp:positionH>
              <wp:positionV relativeFrom="page">
                <wp:posOffset>765810</wp:posOffset>
              </wp:positionV>
              <wp:extent cx="76200" cy="121920"/>
              <wp:wrapNone/>
              <wp:docPr id="13" name="Shape 13"/>
              <a:graphic xmlns:a="http://schemas.openxmlformats.org/drawingml/2006/main">
                <a:graphicData uri="http://schemas.microsoft.com/office/word/2010/wordprocessingShape">
                  <wps:wsp>
                    <wps:cNvSpPr txBox="1"/>
                    <wps:spPr>
                      <a:xfrm>
                        <a:ext cx="76200" cy="12192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8.65000000000003pt;margin-top:60.300000000000004pt;width:6.pt;height:9.5999999999999996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3921760</wp:posOffset>
              </wp:positionH>
              <wp:positionV relativeFrom="page">
                <wp:posOffset>765810</wp:posOffset>
              </wp:positionV>
              <wp:extent cx="73025" cy="125095"/>
              <wp:wrapNone/>
              <wp:docPr id="15" name="Shape 15"/>
              <a:graphic xmlns:a="http://schemas.openxmlformats.org/drawingml/2006/main">
                <a:graphicData uri="http://schemas.microsoft.com/office/word/2010/wordprocessingShape">
                  <wps:wsp>
                    <wps:cNvSpPr txBox="1"/>
                    <wps:spPr>
                      <a:xfrm>
                        <a:ext cx="73025" cy="12509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8.80000000000001pt;margin-top:60.300000000000004pt;width:5.75pt;height:9.8499999999999996pt;z-index:-188744059;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4360A3"/>
      <w:sz w:val="18"/>
      <w:szCs w:val="18"/>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21">
    <w:name w:val="Основной текст (2)_"/>
    <w:basedOn w:val="DefaultParagraphFont"/>
    <w:link w:val="Style20"/>
    <w:rPr>
      <w:rFonts w:ascii="Times New Roman" w:eastAsia="Times New Roman" w:hAnsi="Times New Roman" w:cs="Times New Roman"/>
      <w:b w:val="0"/>
      <w:bCs w:val="0"/>
      <w:i w:val="0"/>
      <w:iCs w:val="0"/>
      <w:smallCaps w:val="0"/>
      <w:strike w:val="0"/>
      <w:u w:val="none"/>
    </w:rPr>
  </w:style>
  <w:style w:type="paragraph" w:customStyle="1" w:styleId="Style2">
    <w:name w:val="Основной текст (3)"/>
    <w:basedOn w:val="Normal"/>
    <w:link w:val="CharStyle3"/>
    <w:pPr>
      <w:widowControl w:val="0"/>
      <w:shd w:val="clear" w:color="auto" w:fill="auto"/>
      <w:spacing w:after="160" w:line="286"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5">
    <w:name w:val="Основной текст (4)"/>
    <w:basedOn w:val="Normal"/>
    <w:link w:val="CharStyle6"/>
    <w:pPr>
      <w:widowControl w:val="0"/>
      <w:shd w:val="clear" w:color="auto" w:fill="auto"/>
      <w:spacing w:after="200"/>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8">
    <w:name w:val="Подпись к картинке"/>
    <w:basedOn w:val="Normal"/>
    <w:link w:val="CharStyle9"/>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360A3"/>
      <w:sz w:val="18"/>
      <w:szCs w:val="18"/>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0">
    <w:name w:val="Основной текст (2)"/>
    <w:basedOn w:val="Normal"/>
    <w:link w:val="CharStyle21"/>
    <w:pPr>
      <w:widowControl w:val="0"/>
      <w:shd w:val="clear" w:color="auto" w:fill="auto"/>
      <w:spacing w:after="600"/>
      <w:ind w:firstLine="72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 Id="rId12" Type="http://schemas.openxmlformats.org/officeDocument/2006/relationships/header" Target="header1.xml"/><Relationship Id="rId13" Type="http://schemas.openxmlformats.org/officeDocument/2006/relationships/footer" Target="footer2.xml"/><Relationship Id="rId14" Type="http://schemas.openxmlformats.org/officeDocument/2006/relationships/header" Target="header2.xml"/><Relationship Id="rId15" Type="http://schemas.openxmlformats.org/officeDocument/2006/relationships/footer" Target="footer3.xml"/></Relationships>
</file>