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5975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Забайкальскому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Лермонтова, 14, г. Чита, 672076</w:t>
        <w:br/>
        <w:t>почтовый адрес: а/я 803, г. Чита, 672000</w:t>
        <w:br/>
        <w:t>тел. (3022) 35-18-41, факс (3022) 32-12-31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е-та11: 1о75@Га8.§оу.ги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9.10.2024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МГ/4639/24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 ФЕДЕРАЛЬНОЙ СЛУЖБЫ</w:t>
        <w:br/>
        <w:t>СУДЕБНЫХ ПРИСТАВОВ ПО</w:t>
        <w:br/>
        <w:t>ЗАБАЙКАЛЬСКОМУ КРАЮ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672000, Забайкальский край, Чита г, УЛИЦА</w:t>
        <w:br/>
        <w:t>БАБУШКИНА, 127</w:t>
        <w:br/>
        <w:t>т1о@г75.Й8р.доуш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«ЗИОН»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603002, г. Нижний Новгород, ул. Обухова, дом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11, оф.305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4" w:right="642" w:bottom="1232" w:left="1250" w:header="0" w:footer="3" w:gutter="0"/>
          <w:pgNumType w:start="1"/>
          <w:cols w:num="2" w:space="720" w:equalWidth="0">
            <w:col w:w="4123" w:space="1090"/>
            <w:col w:w="479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его^ееV.к@x^ оп-пп.ги</w:t>
      </w:r>
    </w:p>
    <w:p>
      <w:pPr>
        <w:widowControl w:val="0"/>
        <w:spacing w:line="28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7" w:right="0" w:bottom="118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46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476097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</w:t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рассмотрению жалобы № 075/06/105-592/2024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нарушении законодательства при осуществлении закупки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7286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04 октября 2024 года</w:t>
        <w:tab/>
        <w:t>г. Чита, ул. Лермонтова, 14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председатель комиссии Гойгов М.Б. руководитель Забайкальского УФАС России, члены комиссии: Осипова А.О. начальник отдела контроля закупок Забайкальского УФАС России, Еремина В.В. главный специалист-эксперт отдела контроля закупок Забайкальского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жалобу ООО "ЗИОН"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</w:t>
      </w:r>
      <w:r>
        <w:fldChar w:fldCharType="begin"/>
      </w:r>
      <w:r>
        <w:rPr/>
        <w:instrText> HYPERLINK "https://lk.zakupki.gov.ru/controls/spring/main-flow?flow=simple_complaints_search_flow"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 ФЕДЕРАЛЬНОЙ СЛУЖБЫ СУДЕБНЫХ ПРИСТАВОВ ПО ЗАБАЙКАЛЬСКОМУ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"https://lk.zakupki.gov.ru/controls/spring/main-flow?flow=simple_complaints_search_flow"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КРАЮ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проведении электронного аукциона «Приобретение рабочих станций (моноблоки)» (реестровый № 0191100009424000119),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 ВКС представителя заявителя - Абрамова А.И. (доверенность от 22.01.2024 №1),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представителя заказчика - Варенковой Е.А. (доверенность от 03.10.2024)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27.09.2024 в адрес Забайкальского УФАС России поступила жалоба от ООО "ЗИОН" о нарушении Закона о контрактной системе при проведении закупки №0191100009424000119.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не согласен с результатами рассмотрения заявок, поддерживая следующий довод жалобы: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«Податель жалобы полагает, что Контракт заключается с победителем, чье оборудование не имеет установленных характеристик в Техническом задании либо реестровая запись, предложенная победителем, не находится в реестре в соответствии с ПП878.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подобной конфигурации, например, имея «тип оперативной памяти - ^^К5», «Объем установленной оперативной памяти - &gt; 16», соответственно, как и материнская, работающая совместно с типом оперативной памяти ^^К5 в значительной степени увеличивает цену сборки моноблоков. Дополнительно сообщаем, что изготовление корпуса моноблока стоит гораздо дороже, чем изготовление металлического системного блока, так как корпус моноблока составляет пластик.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Заявитель полагает, что победителем признан участник, который предложил к поставке технику, которая либо не находится в реестре по ПП878, либо не соответствует условиям Технического задания».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представлены следующие пояснения.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Аукционная комиссия проверила соответствие заявок участников электронного аукциона требованиям законодательства и аукционной документации. Проанализировав заявки, признала победителем электронного аукциона ООО "ТРИГИГА" ИНН 9728088247. В составе заявки победителя электронного аукциона содержится указание на реестровый номер из реестра Российской радиоэлектронной продукции, приложена выписка из реестра Российской продукции № 10528281, заявка также содержит все необходимые заказчику характеристики товара (соответствующие техническому заданию).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Указанный победителем электронного аукциона реестровый номер содержится в реестре радиоэлектронной продукции, ввиду чего у аукционной комиссии отсутствовали основания для отклонения заявки победителя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закупки № 0191100009424000119, в ходе которой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11.09.2024 уполномоченным учреждением в интересах заказчика на официальном сайте ЕИС размещены извещение и электронные документы о проведении электронного аукциона на поставку оборудования.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2 160 000,00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участие в закупке поступило 4 заявки.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подачи ценовых предложений от 23.09.2024:</w:t>
      </w:r>
    </w:p>
    <w:tbl>
      <w:tblPr>
        <w:tblOverlap w:val="never"/>
        <w:jc w:val="left"/>
        <w:tblLayout w:type="fixed"/>
      </w:tblPr>
      <w:tblGrid>
        <w:gridCol w:w="1296"/>
        <w:gridCol w:w="1123"/>
        <w:gridCol w:w="1978"/>
        <w:gridCol w:w="4661"/>
      </w:tblGrid>
      <w:tr>
        <w:trPr>
          <w:trHeight w:val="24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Порядковый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Участник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Ценовое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Дата и время подачи ценового предложения</w:t>
            </w:r>
          </w:p>
        </w:tc>
      </w:tr>
      <w:tr>
        <w:trPr>
          <w:trHeight w:val="59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номер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предложение, руб.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117327301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2 084 400,00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23.09.2024 06:07 (МСК+6)</w:t>
            </w:r>
          </w:p>
        </w:tc>
      </w:tr>
      <w:tr>
        <w:trPr>
          <w:trHeight w:val="5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117325499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2 095 200,00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23.09.2024 06:07 (МСК+6)</w:t>
            </w:r>
          </w:p>
        </w:tc>
      </w:tr>
      <w:tr>
        <w:trPr>
          <w:trHeight w:val="5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117316176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2 138 400,00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23.09.2024 06:00 (МСК+6)</w:t>
            </w:r>
          </w:p>
        </w:tc>
      </w:tr>
      <w:tr>
        <w:trPr>
          <w:trHeight w:val="389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117327790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0,00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24.09.2024 все заявки признаны соответствующими установленным требованиям.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Победителем признан участник с заявкой №117327301 с ценовым предложением 2 084 400,00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проведения заседания Комиссии контракт не заключен.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представленные документы, заслушав объяснения сторон, Комиссия приходит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fldChar w:fldCharType="begin"/>
      </w:r>
      <w:r>
        <w:rPr/>
        <w:instrText> HYPERLINK "https://www.consultant.ru/document/cons_doc_LAW_454257/b049ab61078e25e03a91a0999ed81ee37a622560/%23dst2589"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пунктом 4 части 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предусмотренным</w:t>
      </w:r>
      <w:r>
        <w:fldChar w:fldCharType="begin"/>
      </w:r>
      <w:r>
        <w:rPr/>
        <w:instrText> HYPERLINK "https://www.consultant.ru/document/cons_doc_LAW_454257/fc5809ef5588b4cf9720e8f06229a67093c06389/%23dst2520"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пунктами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</w:t>
      </w:r>
      <w:r>
        <w:fldChar w:fldCharType="begin"/>
      </w:r>
      <w:r>
        <w:rPr/>
        <w:instrText> HYPERLINK "https://www.consultant.ru/document/cons_doc_LAW_454257/fc5809ef5588b4cf9720e8f06229a67093c06389/%23dst2527"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8 части 12 статьи 48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"https://www.consultant.ru/document/cons_doc_LAW_454257/b049ab61078e25e03a91a0999ed81ee37a622560/%23dst2592"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подпунктом "а"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"https://www.consultant.ru/document/cons_doc_LAW_454257/b049ab61078e25e03a91a0999ed81ee37a622560/%23dst2577"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пунктом 9 части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"https://www.consultant.ru/document/cons_doc_LAW_454257/b049ab61078e25e03a91a0999ed81ee37a622560/%23dst2577"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абзацем первым пункта 9 части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fldChar w:fldCharType="begin"/>
      </w:r>
      <w:r>
        <w:rPr/>
        <w:instrText> HYPERLINK "https://www.consultant.ru/document/cons_doc_LAW_454257/2c1e3551b4209a9fa5744534f7525ac7430624eb/%23dst100116"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</w:t>
      </w:r>
      <w:r>
        <w:fldChar w:fldCharType="begin"/>
      </w:r>
      <w:r>
        <w:rPr/>
        <w:instrText> HYPERLINK "https://www.consultant.ru/document/cons_doc_LAW_454257/fc5809ef5588b4cf9720e8f06229a67093c06389/%23dst2547"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пунктами 1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"https://www.consultant.ru/document/cons_doc_LAW_454257/fc5809ef5588b4cf9720e8f06229a67093c06389/%23dst2548"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2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"https://www.consultant.ru/document/cons_doc_LAW_454257/fc5809ef5588b4cf9720e8f06229a67093c06389/%23dst2550"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4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-</w:t>
      </w:r>
      <w:r>
        <w:fldChar w:fldCharType="begin"/>
      </w:r>
      <w:r>
        <w:rPr/>
        <w:instrText> HYPERLINK "https://www.consultant.ru/document/cons_doc_LAW_454257/fc5809ef5588b4cf9720e8f06229a67093c06389/%23dst2553"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7 части 17 статьи 48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4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</w:t>
      </w:r>
      <w:r>
        <w:fldChar w:fldCharType="begin"/>
      </w:r>
      <w:r>
        <w:rPr/>
        <w:instrText> HYPERLINK "https://www.consultant.ru/document/cons_doc_LAW_454257/2c1e3551b4209a9fa5744534f7525ac7430624eb/%23dst100116"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 (за исключением случаев непредставления информации и документов, предусмотренных</w:t>
      </w:r>
      <w:r>
        <w:fldChar w:fldCharType="begin"/>
      </w:r>
      <w:r>
        <w:rPr/>
        <w:instrText> HYPERLINK "https://www.consultant.ru/document/cons_doc_LAW_454257/5a18b3d46fe0fd48f2482cd6ec7ce419763efccd/%23dst2350"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пунктом 5 части 1 статьи 43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рамках применяемого национального режима (ст. 14 Закона о контрактной системе) в извещении о закупке №0191100009424000119 установлены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ограничения допуска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товаров, происходящих из иностранных государств, в соответствии с Постановлением Правительства РФ от 10 июля 2019 г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Федерации», а также условия допуска в соответствии с приказом Минфина России № 126н от 04.06.2018.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 закупке, заказчиком приобретаются рабочие станции (моноблоки), среди прочих характеристик указано: тип оперативной памяти ^^К5, значение характеристики не может изменяться участником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Победителем закупки предложен в структурированной форме к поставке товар: тип оперативной памяти, ^^К5. Указан номер реестровой записи 288\2\2024.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указано, что в Едином реестре российской радиоэлектронной продукции (1Ш РФ 878) по номеру записи 288\2\2024 содержится следующая информация: наименование товара Моноблок ЮТЕСНРКО МВ РКОГ 05-24. В технических характеристиках указано: тип оперативной памяти, ^^К4.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Пунктом 31 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утвержденных постановлением Правительства Российской Федерации от 08.06.2018 X 656 предусмотрено, что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при формировании предложения участника закупки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в отношении объекта закупки, предусмотренного пунктом 2 части 1 статьи 43 Федерального закона,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 использованием электронной площадки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специализированной электронной площадки формируются наименование страны происхождения товара, товарный знак (при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наличии у товара товарного знака),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а также характеристики предлагаемого участником закупки товара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в части характеристик, содержащихся в извещении об осуществлении закупки в соответствии с пунктом 5 части 1 статьи 42 Федерального закона, в приглашении принять участие в определении поставщика (подрядчика, исполнителя) в соответствии с пунктом 1 части 1 статьи 75 Федерального закона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 Функционал электронной торговой площадки при заполнении электронной (структурированной) формы заявки предусматривает указание участниками закупки конкретных значений по указанным характеристикам.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Функционал электронной торговой площадки при заполнении электронной (структурированной) формы заявки предусматривает указание участниками закупки конкретных значений по указанным характеристикам.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 Правительства РФ от 10.07.2019 ^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^ 925 и признании утратившими силу некоторых актов Правительства Российской Федерации" (далее - Постановление ^ 878) устанавливает правила формирования и ведения единого реестра российской радиоэлектронной продукции и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 (далее - перечень).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3 Постановления ^ 878, что при осуществлении закупок радиоэлектронной продукции, включенной в перечень, за исключением установленного пунктом 3(1) настоящего постановления случая,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в соответствии с п. 3 (2) Постановления ^ 878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- членов Евразийского экономического союза, правила формирования и ведения которого устанавливаются правом Евразийского экономического союза (далее - евразийский реестр промышленных товаров);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3(3) Постановления ^ 878 для подтверждения соответствия радиоэлектронной продукции требованиям, предусмотренным пунктом 3(2) данного постановления, участник закупки указывает (декларирует) в составе заявки на участие в закупке номер реестровой записи из реестра радиоэлектронной продукции или евразийского реестра промышленных товаров.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Так, согласно письму Минфина России от 12.02.2021 ^ 24-06-08/9591 "Об осуществлении закупок", комиссия по осуществлению закупок самостоятельно принимает решение о соответствии товара (промышленной продукции), руководствуясь общими нормами Закона ^ 44-ФЗ, а также осуществляет проверку соответствующих реестровых записей из реестра, в частности,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на предмет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соответствия страны происхождения товара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и требованиям действующего законодательства.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1 ст. 51 Закона о контрактной системе,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1 ч. 1 ст. 94 Закона о контрактной системе,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3 ст. 94 Закона о контрактной системе, 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1 ст. 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 данные обстоятельства, Комиссия УФАС, не имеет достаточных оснований для признания нарушений в действии комиссии по осуществлению закупок Заказчика.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с учетом доводов заявителя о разночтении в данных официального сайта производителя товара с письмами производителя предложенного к поставке товара, направленным заказчику и участнику закупки, Комиссия считает необходимым указать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15 статьи 95 Закона о контрактной системе заказчик обязан принять решение об одностороннем отказе от исполнения контракта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если в ходе исполнения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контракта установлено, что: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поставщик (подрядчик, исполнитель)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и (или) поставляемый товар перестали соответствовать установленным извещением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об осуществлении закупки и (или) документацией о закупке (если настоящим Федеральным законом предусмотрена документация о закупке)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требованиям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к участникам закупки (за исключением требования, предусмотренного </w:t>
      </w:r>
      <w:r>
        <w:fldChar w:fldCharType="begin"/>
      </w:r>
      <w:r>
        <w:rPr/>
        <w:instrText> HYPERLINK "https://www.consultant.ru/document/cons_doc_LAW_461836/be7f337d9b35705ac035531878c8d15c2b09b36d/%23dst2001"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частью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"https://www.consultant.ru/document/cons_doc_LAW_461836/be7f337d9b35705ac035531878c8d15c2b09b36d/%23dst2001"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1.1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(при наличии такого требования) статьи 31 настоящего Федерального закона)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и (или) поставляемому товару;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 определении поставщика (подрядчика, исполнителя)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поставщик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(подрядчик, исполнитель)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представил недостоверную информацию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о своем соответствии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и (или) соответствии поставляемого товара требованиям,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указанным в</w:t>
      </w:r>
      <w:r>
        <w:fldChar w:fldCharType="begin"/>
      </w:r>
      <w:r>
        <w:rPr/>
        <w:instrText> HYPERLINK "https://www.consultant.ru/document/cons_doc_LAW_461836/f4823c3311874efd0ecdfa668c9705968edbc47c/%23dst3008"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подпункте "а"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пункта, что позволило ему стать победителем определения поставщика (подрядчика, исполнителя).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случае поставки ненадлежащего товара, победитель несет риск наступления негативных для него последствий, заказчик обязан расторгнуть такой контракт.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изложенного, руководствуясь Постановлением Правительства Российской Федерации от 26.08. 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 Закона о контрактной системе, комиссия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ООО "ЗИОН"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7" w:right="532" w:bottom="1188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0" distB="386715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457200</wp:posOffset>
                </wp:positionV>
                <wp:extent cx="1572895" cy="21653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7.75pt;margin-top:36.pt;width:123.85000000000001pt;height:17.050000000000001pt;z-index:-125829375;mso-wrap-distance-left:0;mso-wrap-distance-top:36.pt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90855" distB="0" distL="0" distR="1789430" simplePos="0" relativeHeight="125829380" behindDoc="0" locked="0" layoutInCell="1" allowOverlap="1">
            <wp:simplePos x="0" y="0"/>
            <wp:positionH relativeFrom="page">
              <wp:posOffset>2620010</wp:posOffset>
            </wp:positionH>
            <wp:positionV relativeFrom="paragraph">
              <wp:posOffset>490855</wp:posOffset>
            </wp:positionV>
            <wp:extent cx="389890" cy="57277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926465</wp:posOffset>
                </wp:positionV>
                <wp:extent cx="1283335" cy="10350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5.40000000000001pt;margin-top:72.9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615950</wp:posOffset>
                </wp:positionV>
                <wp:extent cx="1725295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1.80000000000001pt;margin-top:48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57200" distB="386715" distL="0" distR="0" simplePos="0" relativeHeight="125829381" behindDoc="0" locked="0" layoutInCell="1" allowOverlap="1">
                <wp:simplePos x="0" y="0"/>
                <wp:positionH relativeFrom="page">
                  <wp:posOffset>6378575</wp:posOffset>
                </wp:positionH>
                <wp:positionV relativeFrom="paragraph">
                  <wp:posOffset>457200</wp:posOffset>
                </wp:positionV>
                <wp:extent cx="807720" cy="216535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02.25pt;margin-top:36.pt;width:63.600000000000001pt;height:17.050000000000001pt;z-index:-125829372;mso-wrap-distance-left:0;mso-wrap-distance-top:36.pt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Гойгов Микаил Багаудиновин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0098ВС52Е002В9Е433809ЕА609В1</w:t>
      </w:r>
      <w:r>
        <w:rPr>
          <w:color w:val="969696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Е9В58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22.08.2023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14.11.2024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216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2663190</wp:posOffset>
            </wp:positionH>
            <wp:positionV relativeFrom="paragraph">
              <wp:posOffset>63500</wp:posOffset>
            </wp:positionV>
            <wp:extent cx="347345" cy="53657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5.45000000000002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1.84999999999999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А.О. Осипова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Осипова Анна Олеговна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27Е9Е546В1326П2АА30С0СО0А93С7С64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16.08.2023 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08.11.2024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216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2663190</wp:posOffset>
            </wp:positionH>
            <wp:positionV relativeFrom="paragraph">
              <wp:posOffset>25400</wp:posOffset>
            </wp:positionV>
            <wp:extent cx="347345" cy="42672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144145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1.84999999999999pt;margin-top:11.3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В.В. Еремина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Еремина Виктория Васильевна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250В516ОС57В06В1ВЭС0633СА5217582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1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10043795</wp:posOffset>
              </wp:positionV>
              <wp:extent cx="6489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2024-5209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149999999999999pt;margin-top:790.8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2024-5209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2024-5209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2024-5209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4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20"/>
      <w:szCs w:val="20"/>
      <w:u w:val="none"/>
    </w:rPr>
  </w:style>
  <w:style w:type="character" w:customStyle="1" w:styleId="CharStyle11">
    <w:name w:val="Основной текст (6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Заголовок №1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20"/>
      <w:szCs w:val="20"/>
      <w:u w:val="none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auto"/>
      <w:ind w:firstLine="5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