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300" w:line="240" w:lineRule="auto"/>
        <w:ind w:left="0" w:right="0" w:firstLine="0"/>
        <w:jc w:val="center"/>
      </w:pPr>
      <w:r>
        <w:drawing>
          <wp:anchor distT="130810" distB="1021080" distL="114300" distR="2640965" simplePos="0" relativeHeight="125829378" behindDoc="0" locked="0" layoutInCell="1" allowOverlap="1">
            <wp:simplePos x="0" y="0"/>
            <wp:positionH relativeFrom="page">
              <wp:posOffset>3545840</wp:posOffset>
            </wp:positionH>
            <wp:positionV relativeFrom="paragraph">
              <wp:posOffset>143510</wp:posOffset>
            </wp:positionV>
            <wp:extent cx="585470" cy="658495"/>
            <wp:wrapSquare wrapText="lef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85470" cy="658495"/>
                    </a:xfrm>
                    <a:prstGeom prst="rect"/>
                  </pic:spPr>
                </pic:pic>
              </a:graphicData>
            </a:graphic>
          </wp:anchor>
        </w:drawing>
      </w:r>
      <w:r>
        <mc:AlternateContent>
          <mc:Choice Requires="wps">
            <w:drawing>
              <wp:anchor distT="0" distB="0" distL="1184275" distR="114300" simplePos="0" relativeHeight="125829379" behindDoc="0" locked="0" layoutInCell="1" allowOverlap="1">
                <wp:simplePos x="0" y="0"/>
                <wp:positionH relativeFrom="page">
                  <wp:posOffset>4615815</wp:posOffset>
                </wp:positionH>
                <wp:positionV relativeFrom="paragraph">
                  <wp:posOffset>12700</wp:posOffset>
                </wp:positionV>
                <wp:extent cx="2042160" cy="1807210"/>
                <wp:wrapSquare wrapText="left"/>
                <wp:docPr id="3" name="Shape 3"/>
                <a:graphic xmlns:a="http://schemas.openxmlformats.org/drawingml/2006/main">
                  <a:graphicData uri="http://schemas.microsoft.com/office/word/2010/wordprocessingShape">
                    <wps:wsp>
                      <wps:cNvSpPr txBox="1"/>
                      <wps:spPr>
                        <a:xfrm>
                          <a:ext cx="2042160" cy="18072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z w:val="24"/>
                                <w:szCs w:val="24"/>
                                <w:shd w:val="clear" w:color="auto" w:fill="auto"/>
                                <w:lang w:val="ru-RU" w:eastAsia="ru-RU" w:bidi="ru-RU"/>
                              </w:rPr>
                              <w:t>МОНОПОЛИЯГЭ КАРШЫ</w:t>
                            </w:r>
                          </w:p>
                          <w:p>
                            <w:pPr>
                              <w:pStyle w:val="Style2"/>
                              <w:keepNext w:val="0"/>
                              <w:keepLines w:val="0"/>
                              <w:widowControl w:val="0"/>
                              <w:shd w:val="clear" w:color="auto" w:fill="auto"/>
                              <w:bidi w:val="0"/>
                              <w:spacing w:before="0" w:after="260" w:line="240" w:lineRule="auto"/>
                              <w:ind w:left="0" w:right="0" w:firstLine="0"/>
                              <w:jc w:val="center"/>
                            </w:pPr>
                            <w:r>
                              <w:rPr>
                                <w:spacing w:val="0"/>
                                <w:w w:val="100"/>
                                <w:position w:val="0"/>
                                <w:sz w:val="24"/>
                                <w:szCs w:val="24"/>
                                <w:shd w:val="clear" w:color="auto" w:fill="auto"/>
                                <w:lang w:val="ru-RU" w:eastAsia="ru-RU" w:bidi="ru-RU"/>
                              </w:rPr>
                              <w:t>ФЕДЕРАЛЬ ХЕЗМЭТ</w:t>
                            </w:r>
                          </w:p>
                          <w:p>
                            <w:pPr>
                              <w:pStyle w:val="Style2"/>
                              <w:keepNext w:val="0"/>
                              <w:keepLines w:val="0"/>
                              <w:widowControl w:val="0"/>
                              <w:shd w:val="clear" w:color="auto" w:fill="auto"/>
                              <w:bidi w:val="0"/>
                              <w:spacing w:before="0" w:after="260" w:line="240" w:lineRule="auto"/>
                              <w:ind w:left="0" w:right="0" w:firstLine="0"/>
                              <w:jc w:val="center"/>
                            </w:pPr>
                            <w:r>
                              <w:rPr>
                                <w:spacing w:val="0"/>
                                <w:w w:val="100"/>
                                <w:position w:val="0"/>
                                <w:sz w:val="24"/>
                                <w:szCs w:val="24"/>
                                <w:shd w:val="clear" w:color="auto" w:fill="auto"/>
                                <w:lang w:val="ru-RU" w:eastAsia="ru-RU" w:bidi="ru-RU"/>
                              </w:rPr>
                              <w:t>Монополиягэ каршы</w:t>
                              <w:br/>
                              <w:t>Федераль хезмэтнец</w:t>
                              <w:br/>
                              <w:t>Татарстан Республикасы</w:t>
                              <w:br/>
                              <w:t>буенча идарэсе</w:t>
                            </w:r>
                          </w:p>
                          <w:p>
                            <w:pPr>
                              <w:pStyle w:val="Style4"/>
                              <w:keepNext w:val="0"/>
                              <w:keepLines w:val="0"/>
                              <w:widowControl w:val="0"/>
                              <w:shd w:val="clear" w:color="auto" w:fill="auto"/>
                              <w:bidi w:val="0"/>
                              <w:spacing w:before="0" w:after="260"/>
                              <w:ind w:left="0" w:right="0" w:firstLine="0"/>
                              <w:jc w:val="center"/>
                            </w:pPr>
                            <w:r>
                              <w:rPr>
                                <w:spacing w:val="0"/>
                                <w:w w:val="100"/>
                                <w:position w:val="0"/>
                                <w:shd w:val="clear" w:color="auto" w:fill="auto"/>
                                <w:lang w:val="ru-RU" w:eastAsia="ru-RU" w:bidi="ru-RU"/>
                              </w:rPr>
                              <w:t>Мэскэу ур., 55 йорт, Казан шэЬэре, 420021</w:t>
                              <w:br/>
                              <w:t>тел.: (843) 236-89-22, факс (843)238-19-46</w:t>
                              <w:br/>
                              <w:t>е-тай: 1о16@Га8.§о\'.ги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63.44999999999999pt;margin-top:1.pt;width:160.80000000000001pt;height:142.30000000000001pt;z-index:-125829374;mso-wrap-distance-left:93.25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z w:val="24"/>
                          <w:szCs w:val="24"/>
                          <w:shd w:val="clear" w:color="auto" w:fill="auto"/>
                          <w:lang w:val="ru-RU" w:eastAsia="ru-RU" w:bidi="ru-RU"/>
                        </w:rPr>
                        <w:t>МОНОПОЛИЯГЭ КАРШЫ</w:t>
                      </w:r>
                    </w:p>
                    <w:p>
                      <w:pPr>
                        <w:pStyle w:val="Style2"/>
                        <w:keepNext w:val="0"/>
                        <w:keepLines w:val="0"/>
                        <w:widowControl w:val="0"/>
                        <w:shd w:val="clear" w:color="auto" w:fill="auto"/>
                        <w:bidi w:val="0"/>
                        <w:spacing w:before="0" w:after="260" w:line="240" w:lineRule="auto"/>
                        <w:ind w:left="0" w:right="0" w:firstLine="0"/>
                        <w:jc w:val="center"/>
                      </w:pPr>
                      <w:r>
                        <w:rPr>
                          <w:spacing w:val="0"/>
                          <w:w w:val="100"/>
                          <w:position w:val="0"/>
                          <w:sz w:val="24"/>
                          <w:szCs w:val="24"/>
                          <w:shd w:val="clear" w:color="auto" w:fill="auto"/>
                          <w:lang w:val="ru-RU" w:eastAsia="ru-RU" w:bidi="ru-RU"/>
                        </w:rPr>
                        <w:t>ФЕДЕРАЛЬ ХЕЗМЭТ</w:t>
                      </w:r>
                    </w:p>
                    <w:p>
                      <w:pPr>
                        <w:pStyle w:val="Style2"/>
                        <w:keepNext w:val="0"/>
                        <w:keepLines w:val="0"/>
                        <w:widowControl w:val="0"/>
                        <w:shd w:val="clear" w:color="auto" w:fill="auto"/>
                        <w:bidi w:val="0"/>
                        <w:spacing w:before="0" w:after="260" w:line="240" w:lineRule="auto"/>
                        <w:ind w:left="0" w:right="0" w:firstLine="0"/>
                        <w:jc w:val="center"/>
                      </w:pPr>
                      <w:r>
                        <w:rPr>
                          <w:spacing w:val="0"/>
                          <w:w w:val="100"/>
                          <w:position w:val="0"/>
                          <w:sz w:val="24"/>
                          <w:szCs w:val="24"/>
                          <w:shd w:val="clear" w:color="auto" w:fill="auto"/>
                          <w:lang w:val="ru-RU" w:eastAsia="ru-RU" w:bidi="ru-RU"/>
                        </w:rPr>
                        <w:t>Монополиягэ каршы</w:t>
                        <w:br/>
                        <w:t>Федераль хезмэтнец</w:t>
                        <w:br/>
                        <w:t>Татарстан Республикасы</w:t>
                        <w:br/>
                        <w:t>буенча идарэсе</w:t>
                      </w:r>
                    </w:p>
                    <w:p>
                      <w:pPr>
                        <w:pStyle w:val="Style4"/>
                        <w:keepNext w:val="0"/>
                        <w:keepLines w:val="0"/>
                        <w:widowControl w:val="0"/>
                        <w:shd w:val="clear" w:color="auto" w:fill="auto"/>
                        <w:bidi w:val="0"/>
                        <w:spacing w:before="0" w:after="260"/>
                        <w:ind w:left="0" w:right="0" w:firstLine="0"/>
                        <w:jc w:val="center"/>
                      </w:pPr>
                      <w:r>
                        <w:rPr>
                          <w:spacing w:val="0"/>
                          <w:w w:val="100"/>
                          <w:position w:val="0"/>
                          <w:shd w:val="clear" w:color="auto" w:fill="auto"/>
                          <w:lang w:val="ru-RU" w:eastAsia="ru-RU" w:bidi="ru-RU"/>
                        </w:rPr>
                        <w:t>Мэскэу ур., 55 йорт, Казан шэЬэре, 420021</w:t>
                        <w:br/>
                        <w:t>тел.: (843) 236-89-22, факс (843)238-19-46</w:t>
                        <w:br/>
                        <w:t>е-тай: 1о16@Га8.§о\'.ги</w:t>
                      </w:r>
                    </w:p>
                  </w:txbxContent>
                </v:textbox>
                <w10:wrap type="square" side="left" anchorx="page"/>
              </v:shape>
            </w:pict>
          </mc:Fallback>
        </mc:AlternateContent>
      </w:r>
      <w:r>
        <w:rPr>
          <w:spacing w:val="0"/>
          <w:w w:val="100"/>
          <w:position w:val="0"/>
          <w:sz w:val="24"/>
          <w:szCs w:val="24"/>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300" w:line="240" w:lineRule="auto"/>
        <w:ind w:left="0" w:right="0" w:firstLine="0"/>
        <w:jc w:val="center"/>
      </w:pPr>
      <w:r>
        <w:rPr>
          <w:spacing w:val="0"/>
          <w:w w:val="100"/>
          <w:position w:val="0"/>
          <w:sz w:val="24"/>
          <w:szCs w:val="24"/>
          <w:shd w:val="clear" w:color="auto" w:fill="auto"/>
          <w:lang w:val="ru-RU" w:eastAsia="ru-RU" w:bidi="ru-RU"/>
        </w:rPr>
        <w:t>УПРАВЛЕНИЕ</w:t>
        <w:br/>
        <w:t>Федеральной антимонопольной</w:t>
        <w:br/>
        <w:t>службы</w:t>
        <w:br/>
        <w:t>по Республике Татарстан</w:t>
      </w:r>
    </w:p>
    <w:p>
      <w:pPr>
        <w:pStyle w:val="Style4"/>
        <w:keepNext w:val="0"/>
        <w:keepLines w:val="0"/>
        <w:widowControl w:val="0"/>
        <w:shd w:val="clear" w:color="auto" w:fill="auto"/>
        <w:bidi w:val="0"/>
        <w:spacing w:before="0" w:after="960"/>
        <w:ind w:left="0" w:right="0" w:firstLine="0"/>
        <w:jc w:val="center"/>
      </w:pPr>
      <w:r>
        <w:rPr>
          <w:spacing w:val="0"/>
          <w:w w:val="100"/>
          <w:position w:val="0"/>
          <w:shd w:val="clear" w:color="auto" w:fill="auto"/>
          <w:lang w:val="ru-RU" w:eastAsia="ru-RU" w:bidi="ru-RU"/>
        </w:rPr>
        <w:t>ул. Московская, д. 55, г. Казань, 420021</w:t>
        <w:br/>
        <w:t>тел.: (843) 236-89-22, факс (843) 238-19-46</w:t>
        <w:br/>
        <w:t>е-тай: Ю16(1&lt;‘Газ.доу.ги</w:t>
      </w:r>
    </w:p>
    <w:p>
      <w:pPr>
        <w:pStyle w:val="Style2"/>
        <w:keepNext w:val="0"/>
        <w:keepLines w:val="0"/>
        <w:widowControl w:val="0"/>
        <w:shd w:val="clear" w:color="auto" w:fill="auto"/>
        <w:bidi w:val="0"/>
        <w:spacing w:before="0" w:after="580" w:line="240" w:lineRule="auto"/>
        <w:ind w:left="0" w:right="0" w:firstLine="0"/>
        <w:jc w:val="both"/>
      </w:pPr>
      <w:r>
        <w:rPr>
          <w:b w:val="0"/>
          <w:bCs w:val="0"/>
          <w:spacing w:val="0"/>
          <w:w w:val="100"/>
          <w:position w:val="0"/>
          <w:sz w:val="24"/>
          <w:szCs w:val="24"/>
          <w:shd w:val="clear" w:color="auto" w:fill="auto"/>
          <w:lang w:val="ru-RU" w:eastAsia="ru-RU" w:bidi="ru-RU"/>
        </w:rPr>
        <w:t>На №от</w:t>
      </w:r>
    </w:p>
    <w:p>
      <w:pPr>
        <w:pStyle w:val="Style8"/>
        <w:keepNext w:val="0"/>
        <w:keepLines w:val="0"/>
        <w:widowControl w:val="0"/>
        <w:shd w:val="clear" w:color="auto" w:fill="auto"/>
        <w:bidi w:val="0"/>
        <w:spacing w:before="0" w:after="0" w:line="240" w:lineRule="auto"/>
        <w:ind w:left="5260" w:right="0" w:firstLine="0"/>
        <w:jc w:val="left"/>
      </w:pPr>
      <w:r>
        <w:rPr>
          <w:color w:val="000000"/>
          <w:spacing w:val="0"/>
          <w:w w:val="100"/>
          <w:position w:val="0"/>
          <w:shd w:val="clear" w:color="auto" w:fill="auto"/>
          <w:lang w:val="ru-RU" w:eastAsia="ru-RU" w:bidi="ru-RU"/>
        </w:rPr>
        <w:t>Заказчику:</w:t>
      </w:r>
    </w:p>
    <w:p>
      <w:pPr>
        <w:pStyle w:val="Style8"/>
        <w:keepNext w:val="0"/>
        <w:keepLines w:val="0"/>
        <w:widowControl w:val="0"/>
        <w:shd w:val="clear" w:color="auto" w:fill="auto"/>
        <w:bidi w:val="0"/>
        <w:spacing w:before="0" w:after="0" w:line="240" w:lineRule="auto"/>
        <w:ind w:left="5260" w:right="0" w:firstLine="0"/>
        <w:jc w:val="left"/>
      </w:pPr>
      <w:r>
        <w:rPr>
          <w:color w:val="000000"/>
          <w:spacing w:val="0"/>
          <w:w w:val="100"/>
          <w:position w:val="0"/>
          <w:shd w:val="clear" w:color="auto" w:fill="auto"/>
          <w:lang w:val="ru-RU" w:eastAsia="ru-RU" w:bidi="ru-RU"/>
        </w:rPr>
        <w:t>ГАПОУ "ЧИСТОПОЛЬСКИЙ</w:t>
      </w:r>
    </w:p>
    <w:p>
      <w:pPr>
        <w:pStyle w:val="Style8"/>
        <w:keepNext w:val="0"/>
        <w:keepLines w:val="0"/>
        <w:widowControl w:val="0"/>
        <w:shd w:val="clear" w:color="auto" w:fill="auto"/>
        <w:bidi w:val="0"/>
        <w:spacing w:before="0" w:after="0" w:line="240" w:lineRule="auto"/>
        <w:ind w:left="5260" w:right="0" w:firstLine="0"/>
        <w:jc w:val="left"/>
      </w:pPr>
      <w:r>
        <w:rPr>
          <w:color w:val="000000"/>
          <w:spacing w:val="0"/>
          <w:w w:val="100"/>
          <w:position w:val="0"/>
          <w:shd w:val="clear" w:color="auto" w:fill="auto"/>
          <w:lang w:val="ru-RU" w:eastAsia="ru-RU" w:bidi="ru-RU"/>
        </w:rPr>
        <w:t>СЕЛЬСКОХОЗЯЙСТВЕННЫЙ</w:t>
      </w:r>
    </w:p>
    <w:p>
      <w:pPr>
        <w:pStyle w:val="Style8"/>
        <w:keepNext w:val="0"/>
        <w:keepLines w:val="0"/>
        <w:widowControl w:val="0"/>
        <w:shd w:val="clear" w:color="auto" w:fill="auto"/>
        <w:bidi w:val="0"/>
        <w:spacing w:before="0" w:after="300" w:line="240" w:lineRule="auto"/>
        <w:ind w:left="5260" w:right="0" w:firstLine="0"/>
        <w:jc w:val="left"/>
      </w:pPr>
      <w:r>
        <w:rPr>
          <w:color w:val="000000"/>
          <w:spacing w:val="0"/>
          <w:w w:val="100"/>
          <w:position w:val="0"/>
          <w:shd w:val="clear" w:color="auto" w:fill="auto"/>
          <w:lang w:val="ru-RU" w:eastAsia="ru-RU" w:bidi="ru-RU"/>
        </w:rPr>
        <w:t xml:space="preserve">ТЕХНИКУМ ИМ. Г.И. УСМАНОВА" </w:t>
      </w:r>
      <w:r>
        <w:rPr>
          <w:color w:val="000000"/>
          <w:spacing w:val="0"/>
          <w:w w:val="100"/>
          <w:position w:val="0"/>
          <w:u w:val="single"/>
          <w:shd w:val="clear" w:color="auto" w:fill="auto"/>
          <w:lang w:val="ru-RU" w:eastAsia="ru-RU" w:bidi="ru-RU"/>
        </w:rPr>
        <w:t>сЬ.1е]1П1кит@та11.ги</w:t>
      </w:r>
    </w:p>
    <w:p>
      <w:pPr>
        <w:pStyle w:val="Style8"/>
        <w:keepNext w:val="0"/>
        <w:keepLines w:val="0"/>
        <w:widowControl w:val="0"/>
        <w:shd w:val="clear" w:color="auto" w:fill="auto"/>
        <w:bidi w:val="0"/>
        <w:spacing w:before="0" w:after="0" w:line="240" w:lineRule="auto"/>
        <w:ind w:left="5260" w:right="0" w:firstLine="0"/>
        <w:jc w:val="left"/>
      </w:pPr>
      <w:r>
        <w:rPr>
          <w:color w:val="000000"/>
          <w:spacing w:val="0"/>
          <w:w w:val="100"/>
          <w:position w:val="0"/>
          <w:shd w:val="clear" w:color="auto" w:fill="auto"/>
          <w:lang w:val="ru-RU" w:eastAsia="ru-RU" w:bidi="ru-RU"/>
        </w:rPr>
        <w:t>Заявителю:</w:t>
      </w:r>
    </w:p>
    <w:p>
      <w:pPr>
        <w:pStyle w:val="Style8"/>
        <w:keepNext w:val="0"/>
        <w:keepLines w:val="0"/>
        <w:widowControl w:val="0"/>
        <w:shd w:val="clear" w:color="auto" w:fill="auto"/>
        <w:bidi w:val="0"/>
        <w:spacing w:before="0" w:after="0" w:line="240" w:lineRule="auto"/>
        <w:ind w:left="5260" w:right="0" w:firstLine="0"/>
        <w:jc w:val="left"/>
      </w:pPr>
      <w:r>
        <w:rPr>
          <w:color w:val="000000"/>
          <w:spacing w:val="0"/>
          <w:w w:val="100"/>
          <w:position w:val="0"/>
          <w:shd w:val="clear" w:color="auto" w:fill="auto"/>
          <w:lang w:val="ru-RU" w:eastAsia="ru-RU" w:bidi="ru-RU"/>
        </w:rPr>
        <w:t>ООО «ПО «ЗАРНИЦА»»</w:t>
      </w:r>
    </w:p>
    <w:p>
      <w:pPr>
        <w:pStyle w:val="Style8"/>
        <w:keepNext w:val="0"/>
        <w:keepLines w:val="0"/>
        <w:widowControl w:val="0"/>
        <w:shd w:val="clear" w:color="auto" w:fill="auto"/>
        <w:bidi w:val="0"/>
        <w:spacing w:before="0" w:after="640" w:line="221" w:lineRule="auto"/>
        <w:ind w:left="5260" w:right="0" w:firstLine="0"/>
        <w:jc w:val="left"/>
      </w:pPr>
      <w:r>
        <w:rPr>
          <w:color w:val="000000"/>
          <w:spacing w:val="0"/>
          <w:w w:val="100"/>
          <w:position w:val="0"/>
          <w:u w:val="single"/>
          <w:shd w:val="clear" w:color="auto" w:fill="auto"/>
          <w:lang w:val="ru-RU" w:eastAsia="ru-RU" w:bidi="ru-RU"/>
        </w:rPr>
        <w:t>1епс1ег@2атй2а.ги</w:t>
      </w:r>
    </w:p>
    <w:p>
      <w:pPr>
        <w:pStyle w:val="Style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 по делу № 016/06/32-1378/2024</w:t>
      </w:r>
    </w:p>
    <w:p>
      <w:pPr>
        <w:pStyle w:val="Style8"/>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hd w:val="clear" w:color="auto" w:fill="auto"/>
          <w:lang w:val="ru-RU" w:eastAsia="ru-RU" w:bidi="ru-RU"/>
        </w:rPr>
        <w:t>о нарушении законодательства в сфере закупок товаров, работ, услуг</w:t>
        <w:br/>
        <w:t>для обеспечения государственных и муниципальных нужд</w:t>
      </w:r>
    </w:p>
    <w:p>
      <w:pPr>
        <w:pStyle w:val="Style8"/>
        <w:keepNext w:val="0"/>
        <w:keepLines w:val="0"/>
        <w:widowControl w:val="0"/>
        <w:shd w:val="clear" w:color="auto" w:fill="auto"/>
        <w:tabs>
          <w:tab w:pos="8938" w:val="left"/>
        </w:tabs>
        <w:bidi w:val="0"/>
        <w:spacing w:before="0" w:after="300" w:line="240" w:lineRule="auto"/>
        <w:ind w:left="0" w:right="0" w:firstLine="0"/>
        <w:jc w:val="both"/>
      </w:pPr>
      <w:r>
        <w:rPr>
          <w:color w:val="000000"/>
          <w:spacing w:val="0"/>
          <w:w w:val="100"/>
          <w:position w:val="0"/>
          <w:shd w:val="clear" w:color="auto" w:fill="auto"/>
          <w:lang w:val="ru-RU" w:eastAsia="ru-RU" w:bidi="ru-RU"/>
        </w:rPr>
        <w:t>04 октября 2024 года</w:t>
        <w:tab/>
        <w:t>г. Казань</w:t>
      </w:r>
    </w:p>
    <w:p>
      <w:pPr>
        <w:pStyle w:val="Style8"/>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p>
      <w:pPr>
        <w:pStyle w:val="Style8"/>
        <w:keepNext w:val="0"/>
        <w:keepLines w:val="0"/>
        <w:widowControl w:val="0"/>
        <w:shd w:val="clear" w:color="auto" w:fill="auto"/>
        <w:tabs>
          <w:tab w:pos="6050" w:val="left"/>
        </w:tabs>
        <w:bidi w:val="0"/>
        <w:spacing w:before="0" w:after="0" w:line="240" w:lineRule="auto"/>
        <w:ind w:left="0" w:right="0" w:firstLine="820"/>
        <w:jc w:val="both"/>
      </w:pPr>
      <w:r>
        <w:rPr>
          <w:color w:val="000000"/>
          <w:spacing w:val="0"/>
          <w:w w:val="100"/>
          <w:position w:val="0"/>
          <w:shd w:val="clear" w:color="auto" w:fill="auto"/>
          <w:lang w:val="ru-RU" w:eastAsia="ru-RU" w:bidi="ru-RU"/>
        </w:rPr>
        <w:t>Председателя Комиссии:</w:t>
        <w:tab/>
        <w:t>Яфизова А.А. - заместителя</w:t>
      </w:r>
    </w:p>
    <w:p>
      <w:pPr>
        <w:pStyle w:val="Style8"/>
        <w:keepNext w:val="0"/>
        <w:keepLines w:val="0"/>
        <w:widowControl w:val="0"/>
        <w:shd w:val="clear" w:color="auto" w:fill="auto"/>
        <w:bidi w:val="0"/>
        <w:spacing w:before="0" w:after="0" w:line="240" w:lineRule="auto"/>
        <w:ind w:left="6060" w:right="0" w:firstLine="0"/>
        <w:jc w:val="left"/>
      </w:pPr>
      <w:r>
        <w:rPr>
          <w:color w:val="000000"/>
          <w:spacing w:val="0"/>
          <w:w w:val="100"/>
          <w:position w:val="0"/>
          <w:shd w:val="clear" w:color="auto" w:fill="auto"/>
          <w:lang w:val="ru-RU" w:eastAsia="ru-RU" w:bidi="ru-RU"/>
        </w:rPr>
        <w:t>руководителя,</w:t>
      </w:r>
    </w:p>
    <w:p>
      <w:pPr>
        <w:pStyle w:val="Style8"/>
        <w:keepNext w:val="0"/>
        <w:keepLines w:val="0"/>
        <w:widowControl w:val="0"/>
        <w:shd w:val="clear" w:color="auto" w:fill="auto"/>
        <w:tabs>
          <w:tab w:pos="6050" w:val="left"/>
        </w:tabs>
        <w:bidi w:val="0"/>
        <w:spacing w:before="0" w:after="0" w:line="240" w:lineRule="auto"/>
        <w:ind w:left="0" w:right="0" w:firstLine="820"/>
        <w:jc w:val="both"/>
      </w:pPr>
      <w:r>
        <w:rPr>
          <w:color w:val="000000"/>
          <w:spacing w:val="0"/>
          <w:w w:val="100"/>
          <w:position w:val="0"/>
          <w:shd w:val="clear" w:color="auto" w:fill="auto"/>
          <w:lang w:val="ru-RU" w:eastAsia="ru-RU" w:bidi="ru-RU"/>
        </w:rPr>
        <w:t>Членов Комиссии:</w:t>
        <w:tab/>
        <w:t>Курмаевой Г.Р. - старшего</w:t>
      </w:r>
    </w:p>
    <w:p>
      <w:pPr>
        <w:pStyle w:val="Style8"/>
        <w:keepNext w:val="0"/>
        <w:keepLines w:val="0"/>
        <w:widowControl w:val="0"/>
        <w:shd w:val="clear" w:color="auto" w:fill="auto"/>
        <w:bidi w:val="0"/>
        <w:spacing w:before="0" w:after="0" w:line="240" w:lineRule="auto"/>
        <w:ind w:left="6060" w:right="0" w:firstLine="0"/>
        <w:jc w:val="left"/>
      </w:pPr>
      <w:r>
        <w:rPr>
          <w:color w:val="000000"/>
          <w:spacing w:val="0"/>
          <w:w w:val="100"/>
          <w:position w:val="0"/>
          <w:shd w:val="clear" w:color="auto" w:fill="auto"/>
          <w:lang w:val="ru-RU" w:eastAsia="ru-RU" w:bidi="ru-RU"/>
        </w:rPr>
        <w:t>государственного инспектора, Никитиной И.Г. - специалиста 1 разряда,</w:t>
      </w:r>
    </w:p>
    <w:p>
      <w:pPr>
        <w:pStyle w:val="Style8"/>
        <w:keepNext w:val="0"/>
        <w:keepLines w:val="0"/>
        <w:widowControl w:val="0"/>
        <w:shd w:val="clear" w:color="auto" w:fill="auto"/>
        <w:bidi w:val="0"/>
        <w:spacing w:before="0" w:after="300" w:line="240" w:lineRule="auto"/>
        <w:ind w:left="0" w:right="0" w:firstLine="680"/>
        <w:jc w:val="both"/>
      </w:pPr>
      <w:r>
        <w:rPr>
          <w:color w:val="000000"/>
          <w:spacing w:val="0"/>
          <w:w w:val="100"/>
          <w:position w:val="0"/>
          <w:shd w:val="clear" w:color="auto" w:fill="auto"/>
          <w:lang w:val="ru-RU" w:eastAsia="ru-RU" w:bidi="ru-RU"/>
        </w:rPr>
        <w:t>в присутствии представителя ГАПОУ "ЧИСТОПОЛЬСКИЙ СЕЛЬСКОХОЗЯЙСТВЕННЫЙ ТЕХНИКУМ ИМ. Г.И. УСМАНОВА" - Васильевой Д.В. (по доверенности), представителя заявителя ООО «ПО «3 АРН</w:t>
      </w:r>
      <w:r>
        <w:rPr>
          <w:color w:val="000000"/>
          <w:spacing w:val="0"/>
          <w:w w:val="100"/>
          <w:position w:val="0"/>
          <w:u w:val="single"/>
          <w:shd w:val="clear" w:color="auto" w:fill="auto"/>
          <w:lang w:val="ru-RU" w:eastAsia="ru-RU" w:bidi="ru-RU"/>
        </w:rPr>
        <w:t>ИТ (А</w:t>
      </w:r>
      <w:r>
        <w:rPr>
          <w:color w:val="000000"/>
          <w:spacing w:val="0"/>
          <w:w w:val="100"/>
          <w:position w:val="0"/>
          <w:shd w:val="clear" w:color="auto" w:fill="auto"/>
          <w:lang w:val="ru-RU" w:eastAsia="ru-RU" w:bidi="ru-RU"/>
        </w:rPr>
        <w:t xml:space="preserve">»» - Доценко Т.Г. (по доверенности), рассмотрев посредством видеоконференции жалобу заявителя ООО «ПО «ЗАРНИЦА»» (вх. №10454 от 27.09.2024г.) на действия </w:t>
      </w:r>
      <w:r>
        <w:rPr>
          <w:color w:val="000000"/>
          <w:spacing w:val="0"/>
          <w:w w:val="100"/>
          <w:position w:val="0"/>
          <w:shd w:val="clear" w:color="auto" w:fill="auto"/>
          <w:lang w:val="ru-RU" w:eastAsia="ru-RU" w:bidi="ru-RU"/>
        </w:rPr>
        <w:t>заказчика - ГАПОУ "ЧИСТОПОЛЬСКИЙ СЕЛЬСКОХОЗЯЙСТВЕННЫЙ ТЕХНИКУМ ИМ. ПИ. УСМАНОВА" при проведении закупки №0711200021424000002 на предмет: «Оказание услуг по разработке учебно</w:t>
        <w:softHyphen/>
        <w:t>информационного комплекса и методики обучения на базе иммерсивных технологий в области агропромышленного комплекса»,</w:t>
      </w:r>
    </w:p>
    <w:p>
      <w:pPr>
        <w:pStyle w:val="Style8"/>
        <w:keepNext w:val="0"/>
        <w:keepLines w:val="0"/>
        <w:widowControl w:val="0"/>
        <w:shd w:val="clear" w:color="auto" w:fill="auto"/>
        <w:bidi w:val="0"/>
        <w:spacing w:before="0" w:after="30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Извещение о проведении открытого конкурса в электронной форме №0711200021424000002 на предмет: «Оказание услуг по разработке учебно</w:t>
        <w:softHyphen/>
        <w:t xml:space="preserve">информационного комплекса и методики обучения на базе иммерсивных технологий в области агропромышленного комплекса» размещено на официальном сайте Российской Федерации для размещения информации о размещении заказов </w:t>
      </w:r>
      <w:r>
        <w:rPr>
          <w:color w:val="000000"/>
          <w:spacing w:val="0"/>
          <w:w w:val="100"/>
          <w:position w:val="0"/>
          <w:u w:val="single"/>
          <w:shd w:val="clear" w:color="auto" w:fill="auto"/>
          <w:lang w:val="ru-RU" w:eastAsia="ru-RU" w:bidi="ru-RU"/>
        </w:rPr>
        <w:t>улуу/.хакирктцоу.ги</w:t>
      </w:r>
      <w:r>
        <w:rPr>
          <w:color w:val="000000"/>
          <w:spacing w:val="0"/>
          <w:w w:val="100"/>
          <w:position w:val="0"/>
          <w:shd w:val="clear" w:color="auto" w:fill="auto"/>
          <w:lang w:val="ru-RU" w:eastAsia="ru-RU" w:bidi="ru-RU"/>
        </w:rPr>
        <w:t xml:space="preserve"> 22.08.2024г.</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Суть жалобы: по мнению заявителя, при проведении закупки нарушены требования действующего законодательства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Комиссия Татарстанского УФАС России по результатам рассмотрения доводов заявителя, позиции заказчика и изучения документации приходит к следующим выводам.</w:t>
      </w:r>
    </w:p>
    <w:p>
      <w:pPr>
        <w:pStyle w:val="Style8"/>
        <w:keepNext w:val="0"/>
        <w:keepLines w:val="0"/>
        <w:widowControl w:val="0"/>
        <w:numPr>
          <w:ilvl w:val="0"/>
          <w:numId w:val="1"/>
        </w:numPr>
        <w:shd w:val="clear" w:color="auto" w:fill="auto"/>
        <w:tabs>
          <w:tab w:pos="1024" w:val="left"/>
        </w:tabs>
        <w:bidi w:val="0"/>
        <w:spacing w:before="0" w:after="0" w:line="240" w:lineRule="auto"/>
        <w:ind w:left="0" w:right="0" w:firstLine="700"/>
        <w:jc w:val="both"/>
      </w:pPr>
      <w:r>
        <w:rPr>
          <w:i/>
          <w:iCs/>
          <w:color w:val="000000"/>
          <w:spacing w:val="0"/>
          <w:w w:val="100"/>
          <w:position w:val="0"/>
          <w:shd w:val="clear" w:color="auto" w:fill="auto"/>
          <w:lang w:val="ru-RU" w:eastAsia="ru-RU" w:bidi="ru-RU"/>
        </w:rPr>
        <w:t>Относительно довода заявителя о том, что заказчиком не рассмотрены представленные документы по показателю «Качественные характеристики объекта закупки».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части 1 статьи 48 Закона о контрактной системе электронный конкурс начинается с размещения в единой информационной системе извещения об осуществлении закупки.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Пунктом 11 части 1 статьи 42 Закона о контрактной системе предусмотрено,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критерии оценки заявок на участие в конкурсах, величины значимости этих критериев в соответствии с настоящим Федеральным законом.</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частью 1 статьи 32 Закона о контрактной системе для оценки заявок участников закупки заказчик использует следующие критерии:</w:t>
      </w:r>
    </w:p>
    <w:p>
      <w:pPr>
        <w:pStyle w:val="Style8"/>
        <w:keepNext w:val="0"/>
        <w:keepLines w:val="0"/>
        <w:widowControl w:val="0"/>
        <w:numPr>
          <w:ilvl w:val="0"/>
          <w:numId w:val="3"/>
        </w:numPr>
        <w:shd w:val="clear" w:color="auto" w:fill="auto"/>
        <w:tabs>
          <w:tab w:pos="103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8"/>
        <w:keepNext w:val="0"/>
        <w:keepLines w:val="0"/>
        <w:widowControl w:val="0"/>
        <w:numPr>
          <w:ilvl w:val="0"/>
          <w:numId w:val="3"/>
        </w:numPr>
        <w:shd w:val="clear" w:color="auto" w:fill="auto"/>
        <w:tabs>
          <w:tab w:pos="104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расходы на эксплуатацию и ремонт товаров, использование результатов работ;</w:t>
      </w:r>
    </w:p>
    <w:p>
      <w:pPr>
        <w:pStyle w:val="Style8"/>
        <w:keepNext w:val="0"/>
        <w:keepLines w:val="0"/>
        <w:widowControl w:val="0"/>
        <w:numPr>
          <w:ilvl w:val="0"/>
          <w:numId w:val="3"/>
        </w:numPr>
        <w:shd w:val="clear" w:color="auto" w:fill="auto"/>
        <w:tabs>
          <w:tab w:pos="104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качественные, функциональные и экологические характеристики объекта закупки;</w:t>
      </w:r>
    </w:p>
    <w:p>
      <w:pPr>
        <w:pStyle w:val="Style8"/>
        <w:keepNext w:val="0"/>
        <w:keepLines w:val="0"/>
        <w:widowControl w:val="0"/>
        <w:numPr>
          <w:ilvl w:val="0"/>
          <w:numId w:val="3"/>
        </w:numPr>
        <w:shd w:val="clear" w:color="auto" w:fill="auto"/>
        <w:tabs>
          <w:tab w:pos="1047" w:val="left"/>
        </w:tabs>
        <w:bidi w:val="0"/>
        <w:spacing w:before="0" w:after="0" w:line="240" w:lineRule="auto"/>
        <w:ind w:left="0" w:right="0" w:firstLine="700"/>
        <w:jc w:val="both"/>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18" w:right="604" w:bottom="1215" w:left="976"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 xml:space="preserve">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w:t>
      </w:r>
    </w:p>
    <w:p>
      <w:pPr>
        <w:pStyle w:val="Style8"/>
        <w:keepNext w:val="0"/>
        <w:keepLines w:val="0"/>
        <w:widowControl w:val="0"/>
        <w:shd w:val="clear" w:color="auto" w:fill="auto"/>
        <w:tabs>
          <w:tab w:pos="1047" w:val="left"/>
        </w:tabs>
        <w:bidi w:val="0"/>
        <w:spacing w:before="0" w:after="0" w:line="240" w:lineRule="auto"/>
        <w:ind w:left="0" w:right="0" w:firstLine="0"/>
        <w:jc w:val="both"/>
      </w:pPr>
      <w:r>
        <w:rPr>
          <w:color w:val="000000"/>
          <w:spacing w:val="0"/>
          <w:w w:val="100"/>
          <w:position w:val="0"/>
          <w:shd w:val="clear" w:color="auto" w:fill="auto"/>
          <w:lang w:val="ru-RU" w:eastAsia="ru-RU" w:bidi="ru-RU"/>
        </w:rPr>
        <w:t>деловой репутации, специалистов и иных работников определенного уровня квалификации.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Постановлением № 2604 утверждено положение об оценке заявок на участие в закупке товаров, работ, услуг для государственных и муниципальных нужд (далее - Положение).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Как установлено пунктом 3 Положения, для оценки заявок в соответствии с настоящим</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Положением применяются следующие критерии оценки:</w:t>
      </w:r>
    </w:p>
    <w:p>
      <w:pPr>
        <w:pStyle w:val="Style8"/>
        <w:keepNext w:val="0"/>
        <w:keepLines w:val="0"/>
        <w:widowControl w:val="0"/>
        <w:numPr>
          <w:ilvl w:val="0"/>
          <w:numId w:val="5"/>
        </w:numPr>
        <w:shd w:val="clear" w:color="auto" w:fill="auto"/>
        <w:tabs>
          <w:tab w:pos="104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8"/>
        <w:keepNext w:val="0"/>
        <w:keepLines w:val="0"/>
        <w:widowControl w:val="0"/>
        <w:numPr>
          <w:ilvl w:val="0"/>
          <w:numId w:val="5"/>
        </w:numPr>
        <w:shd w:val="clear" w:color="auto" w:fill="auto"/>
        <w:tabs>
          <w:tab w:pos="106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расходы;</w:t>
      </w:r>
    </w:p>
    <w:p>
      <w:pPr>
        <w:pStyle w:val="Style8"/>
        <w:keepNext w:val="0"/>
        <w:keepLines w:val="0"/>
        <w:widowControl w:val="0"/>
        <w:numPr>
          <w:ilvl w:val="0"/>
          <w:numId w:val="5"/>
        </w:numPr>
        <w:shd w:val="clear" w:color="auto" w:fill="auto"/>
        <w:tabs>
          <w:tab w:pos="105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характеристики объекта закупки;</w:t>
      </w:r>
    </w:p>
    <w:p>
      <w:pPr>
        <w:pStyle w:val="Style8"/>
        <w:keepNext w:val="0"/>
        <w:keepLines w:val="0"/>
        <w:widowControl w:val="0"/>
        <w:numPr>
          <w:ilvl w:val="0"/>
          <w:numId w:val="5"/>
        </w:numPr>
        <w:shd w:val="clear" w:color="auto" w:fill="auto"/>
        <w:tabs>
          <w:tab w:pos="102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квалификация участников закупки.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пункта 8 Положения в случае применения показателей оценки по критериям оценки, предусмотренным подпунктами "в" и "г" пункта 3 настоящего Положения:</w:t>
      </w:r>
    </w:p>
    <w:p>
      <w:pPr>
        <w:pStyle w:val="Style8"/>
        <w:keepNext w:val="0"/>
        <w:keepLines w:val="0"/>
        <w:widowControl w:val="0"/>
        <w:numPr>
          <w:ilvl w:val="0"/>
          <w:numId w:val="7"/>
        </w:numPr>
        <w:shd w:val="clear" w:color="auto" w:fill="auto"/>
        <w:tabs>
          <w:tab w:pos="103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применяются детализирующие показатели;</w:t>
      </w:r>
    </w:p>
    <w:p>
      <w:pPr>
        <w:pStyle w:val="Style8"/>
        <w:keepNext w:val="0"/>
        <w:keepLines w:val="0"/>
        <w:widowControl w:val="0"/>
        <w:numPr>
          <w:ilvl w:val="0"/>
          <w:numId w:val="7"/>
        </w:numPr>
        <w:shd w:val="clear" w:color="auto" w:fill="auto"/>
        <w:tabs>
          <w:tab w:pos="116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pPr>
        <w:pStyle w:val="Style8"/>
        <w:keepNext w:val="0"/>
        <w:keepLines w:val="0"/>
        <w:widowControl w:val="0"/>
        <w:numPr>
          <w:ilvl w:val="0"/>
          <w:numId w:val="7"/>
        </w:numPr>
        <w:shd w:val="clear" w:color="auto" w:fill="auto"/>
        <w:tabs>
          <w:tab w:pos="103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Подпунктом "а" пункта 16 Положения для оценки заявок по критерию оценки "Характеристики объекта закупки" может применяться, если иное не предусмотрено Положением, показатель оценки "Качественные характеристики объекта закупки".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 соответствии с Порядком рассмотрения и оценки заявок на участие в конкурсе установлен показатель оценки, детализирующий показатель оценки Характеристика №1 (наличие у участника закупки технического предложения, детализирующее Описание объекта закупки и не противоречащее ему, содержащее описание логики разработки учебно-информационного комплекса на базе иммерсивных технологий в области агропромышленного комплекса, порядок </w:t>
      </w:r>
      <w:r>
        <w:rPr>
          <w:color w:val="000000"/>
          <w:spacing w:val="0"/>
          <w:w w:val="100"/>
          <w:position w:val="0"/>
          <w:shd w:val="clear" w:color="auto" w:fill="auto"/>
          <w:lang w:val="ru-RU" w:eastAsia="ru-RU" w:bidi="ru-RU"/>
        </w:rPr>
        <w:t>разработки и конкретные технические решения, а также процесс и методы оказания услуг, предусмотренные Описанием объекта закупки, которые будут использованы участником закупки при оказании услуги).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доводу жалобы заявителя, во исполнение положений ч.5 ст.43 Закона № 44-ФЗ, ПП РФ № 2604 ООО «ПО «ЗАРНИЦА»» в составе заявки по соответствующему разделу были представлены документы по показателю «Качественные характеристики объекта закупки». Однако, как следует из Протокола подведения итогов данные документы комиссией Заказчика рассмотрены не были, соответствующая оценка дана не была, баллы присвоены не были.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представленным пояснениям заказчика, в приложенных документах участника отсутствуют требуемые порядок разработки, описание логики разработки, процессы и методы оказания услуг. Файл «Согласие на выполнение услуг предложение 1» содержит лишь скопированное Описание объекта закупки (далее - ООЗ). В данном файле участник закупки указал лишь конкретные значения в тех местах, где в ООЗ были установлены диапазонные значения без конкретики, например, было установлено в ООЗ «не менее Герц», участник конкретизировал Герц. В приложенных документах участником закупки детализирована лишь форма сценариев разработки на страницах 8-15 файла «Согласие на выполнение услуг предложение 1» и копия этих форм сценариев в файле «Форма сценария для создания УК тренажера 1». Т.е. в представленных документах отсутствует порядок разработки, описание логики разработки, процессы оказания услуг по разработке и созданию тренажеров.</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Также согласно пояснениям заказчика, предложение участника противоречит ООЗ, а именно в пункте 1.25.1 файла «Согласие на выполнение услуг предложение 1» участником закупки указано конкретное минимальное количество устройств 5 штук, что противоречит требованиям ООЗ о необходимости по итогу установки (инсталляции) разработанных тренажеров на целевых устройствах в количестве от 5 до 25.</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Как уточнил заказчик, на текущий день он обладает ранее закупленными и используемыми УК шлемами в количестве 25 штук. В связи с тем, что определить заранее точное количество шлемов невозможно, заказчиком была установлено в ООЗ возможность установки на целевые устройства в количестве до 25 штук. Вместе с тем, участник закупки предложил установку лишь на 5 устройствах, что противоречит ООЗ.</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Также заказчик пояснил, что в пункте 1.18.4 участник указывает значение «со средней детализацией (только основные элементы 9 см по любой из осей, без мелких деталей)», взамен требуемого по 033 «со средней детализацией (только основные элементы до 10 см по любой из осей, без мелких деталей)». Аналогично по пункту 1.18.3 участник указывает 3 см, взамен требуемого по ООЗ неизменного значения детализации до 5 см.</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Изучив пояснения сторон и представленные документы, Комиссия установила следующее.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представленному ООО «ПО «ЗАРНИЦА»» файлу «Согласие на выполнение услуг предложение 1», участник указал значения требуемых </w:t>
      </w:r>
      <w:r>
        <w:rPr>
          <w:color w:val="000000"/>
          <w:spacing w:val="0"/>
          <w:w w:val="100"/>
          <w:position w:val="0"/>
          <w:shd w:val="clear" w:color="auto" w:fill="auto"/>
          <w:lang w:val="ru-RU" w:eastAsia="ru-RU" w:bidi="ru-RU"/>
        </w:rPr>
        <w:t>характеристик, соответствующих диапазону, установленному заказчиком, а именно при диапазоне «от 5 до 25» участником указано 5, при требуемом значении «до 10 см» участником указано 9 см, а также при значении «до 5 см» указано 3 см.</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отмечает, что логика разработки учебно-информационного комплекса и порядок разработки описываются непосредственно при выполнении требуемых работ и подразумевают под собой сам процесс исполнения установленных контрактом услуг.</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Следовательно, Заказчиком нарушены требования пункта 16 Постановления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 2369 и признании утратившими силу некоторых актов и отдельных положений некоторых актов Правительства Российской Федерации", пункта 3 части 1 статьи 32, пункта И части 1 статьи 42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довод заявителя в указанной части является обоснованным.</w:t>
      </w:r>
    </w:p>
    <w:p>
      <w:pPr>
        <w:pStyle w:val="Style8"/>
        <w:keepNext w:val="0"/>
        <w:keepLines w:val="0"/>
        <w:widowControl w:val="0"/>
        <w:numPr>
          <w:ilvl w:val="0"/>
          <w:numId w:val="9"/>
        </w:numPr>
        <w:shd w:val="clear" w:color="auto" w:fill="auto"/>
        <w:tabs>
          <w:tab w:pos="1008" w:val="left"/>
        </w:tabs>
        <w:bidi w:val="0"/>
        <w:spacing w:before="0" w:after="0" w:line="240" w:lineRule="auto"/>
        <w:ind w:left="0" w:right="0" w:firstLine="700"/>
        <w:jc w:val="both"/>
      </w:pPr>
      <w:r>
        <w:rPr>
          <w:i/>
          <w:iCs/>
          <w:color w:val="000000"/>
          <w:spacing w:val="0"/>
          <w:w w:val="100"/>
          <w:position w:val="0"/>
          <w:shd w:val="clear" w:color="auto" w:fill="auto"/>
          <w:lang w:val="ru-RU" w:eastAsia="ru-RU" w:bidi="ru-RU"/>
        </w:rPr>
        <w:t>Относительно довода заявителя о том, что заказчиком не рассмотрены представленные документы по показателю «Наличие у участников закупки специалистов и иных работников определенного уровня квалификации».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Подпунктом "д" пункта 24 Положения об оценке заявок на участие в закупке товаров, работ, услуг для обеспечения государственных и муниципальных нужд (далее - Положение), утвержденного Постановлением Ы 2604, установлено, что для оценки заявок по критерию оценки "квалификация участников закупки" может применяться такой показатель оценки, как "наличие у участников закупки специалистов и иных работников определенного уровня квалификации".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пункту 30 Положения в случае применения показателя оценки, указанного в подпункте "д" пункта 24 Положения, документом, предусмотренным приложением № 1 к Положению, устанавливаются:</w:t>
      </w:r>
    </w:p>
    <w:p>
      <w:pPr>
        <w:pStyle w:val="Style8"/>
        <w:keepNext w:val="0"/>
        <w:keepLines w:val="0"/>
        <w:widowControl w:val="0"/>
        <w:numPr>
          <w:ilvl w:val="0"/>
          <w:numId w:val="11"/>
        </w:numPr>
        <w:shd w:val="clear" w:color="auto" w:fill="auto"/>
        <w:tabs>
          <w:tab w:pos="102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перечень специалистов и иных работников, их квалификация, оцениваемые по показателю, предусмотренному подпунктом "д" пункта 24 Положения, и необходимые для поставки товара, выполнения работ, оказания услуг, являющихся объектом закупки;</w:t>
      </w:r>
    </w:p>
    <w:p>
      <w:pPr>
        <w:pStyle w:val="Style8"/>
        <w:keepNext w:val="0"/>
        <w:keepLines w:val="0"/>
        <w:widowControl w:val="0"/>
        <w:numPr>
          <w:ilvl w:val="0"/>
          <w:numId w:val="11"/>
        </w:numPr>
        <w:shd w:val="clear" w:color="auto" w:fill="auto"/>
        <w:tabs>
          <w:tab w:pos="105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перечень следующих информации (в том числе данных) и документов, подтверждающих квалификацию участника закупки, наличие специалистов и иных работников, их квалификацию, предусмотренные перечнем, установленным в соответствии с подпунктом "а" пункта 30 Положения:</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трудовая книжка или сведения о трудовой деятельности, предусмотренные статьей 66.1 Трудового кодекса Российской Федерации (далее - ТК РФ);</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информация (в том числе данные), результаты применения информационных технологий и документы, подтверждающие квалификацию участника закупки, его специалистов и иных работников, в том числе предусмотренную в соответствии с профессиональными стандартами (если соответствующий профессиональный стандарт обязателен для применения работодателями в соответствии с законодательством Российской Федерации).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Порядком рассмотрения и оценки заявок на участие в конкурсе установлен показатель оценки «Наличие у участников закупки специалистов и иных работников определенного уровня квалификации» с установленным перечнем подтверждающих документов:</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трудовая книжка или сведения о трудовой деятельности, предусмотренные статьей 661 Трудового кодекса Российской Федерации.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доводу жалобы заявителя, во исполнение положений ч.5 ст.43 Закона № 44-ФЗ, 1111 РФ № 2604 ООО «ПО «ЗАРНИЦА»» в составе заявки по соответствующему разделу были представлены документы по показателю «Наличие у участников закупки специалистов и иных работников определенного уровня квалификации».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пояснениям заказчика, по всем специалистам (кроме Журавлева Андрея Александровича, на которого представлена копия трудовой книжки) участником закупки не приложены документы, подтверждающие трудовые отношения, а именно трудовые книжки и (или) электронные трудовые книжки. Данные специалисты при подведении итогов зачтены не были.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Заказчик отметил, что по специалисту Журавлеву А.А., единственному специалисту, на которого представлена копия трудовой книжки, отсутствует документ об образовании, но приложен диплом присвоения ученой степени кандидата физико-математических наук. Соответственно, подтвердить квалификацию (направленность образования) не представляется возможным, т.е. предоставленные документы на него не соответствовали требуемым по критериям специалистов.</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03.10.2024г. был объявлен перерыв на 04.10.2024г. в 14:00, ввиду необходимости получения дополнительной информации.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После перерыва Комиссией Татарстанского УФАС было установлено следующее.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представитель заявителя пояснил, что в соответствии со ст. 60.1 ТК РФ предусмотрена также работа по совместительству, для которой наличие записи в трудовой книжке, там, где работает человек по совместительству, не является обязанностью, так как работодатель на хранит соответствующую трудовую книжку и предоставить ее не может.</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со статьей 66.1 ТК РФ в сведения о трудовой деятельности включаются информация о работнике, месте его работы, его трудовой функции, переводах работника на другую постоянную работу, об увольнении работника с указанием основания и причины прекращения трудового договора, другая предусмотренная ТК РФ, иным федеральным законом информация.</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сведения о трудовой деятельности, предоставляемые в качестве документов, подтверждающих наличие специалистов и иных работников, их квалификацию, должны соответствовать требованиям ТК РФ.</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Комиссия отмечает, что гражданско-правовые договоры, заключенные между участником закупки и специалистами (иными работниками), не являются информацией и документами, подтверждающими наличие таких специалистов и их квалификацию в соответствии с положениями ТК РФ.</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Татарстанское УФАС России обращает внимание, что указанная позиция подтверждается письмом Минтруда России от 18.01.2023 № 14-4/В-42.</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подпункту "р" части 1 статьи 43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случае установления критерия оценки "квалификация участников закупки" заявка на участие в закупке может содержать документы, подтверждающие квалификацию участника закупки.</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Учитывая изложенное, информация и документы, подтверждающие наличие специалистов и иных работников, их квалификацию и соответствующие требованиям ТК РФ, должны содержаться в составе заявки на участие в закупке.</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Дополнительно Комиссия отмечает, что заказчик самостоятельно определяет и устанавливает документы, подтверждающие квалификацию специалистов и иных работников, требования к их содержанию, наименованию квалификации при необходимости, в соответствии с требованиями Закона о контрактной системе, Положения, профессиональных стандартов, а также с учетом специфики планируемой к осуществлению закупки.</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Довод заявителя признан необоснованным.</w:t>
      </w:r>
    </w:p>
    <w:p>
      <w:pPr>
        <w:pStyle w:val="Style8"/>
        <w:keepNext w:val="0"/>
        <w:keepLines w:val="0"/>
        <w:widowControl w:val="0"/>
        <w:shd w:val="clear" w:color="auto" w:fill="auto"/>
        <w:bidi w:val="0"/>
        <w:spacing w:before="0" w:after="320" w:line="240" w:lineRule="auto"/>
        <w:ind w:left="0" w:right="0" w:firstLine="740"/>
        <w:jc w:val="both"/>
      </w:pPr>
      <w:r>
        <w:rPr>
          <w:color w:val="000000"/>
          <w:spacing w:val="0"/>
          <w:w w:val="100"/>
          <w:position w:val="0"/>
          <w:shd w:val="clear" w:color="auto" w:fill="auto"/>
          <w:lang w:val="ru-RU" w:eastAsia="ru-RU" w:bidi="ru-RU"/>
        </w:rPr>
        <w:t>На основании вышеизложенного, руководствуясь пунктом 2 части 22 статьи 99, частью 8 статьи 106 Федерального закона от 05.04.2013 И 44-ФЗ «О контрактной системе в сфере закупок товаров, работ, услуг для обеспечения государственных и муниципальных нужд», Комиссия</w:t>
      </w:r>
    </w:p>
    <w:p>
      <w:pPr>
        <w:pStyle w:val="Style8"/>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ru-RU" w:eastAsia="ru-RU" w:bidi="ru-RU"/>
        </w:rPr>
        <w:t>РЕШИЛА:</w:t>
      </w:r>
    </w:p>
    <w:p>
      <w:pPr>
        <w:pStyle w:val="Style8"/>
        <w:keepNext w:val="0"/>
        <w:keepLines w:val="0"/>
        <w:widowControl w:val="0"/>
        <w:numPr>
          <w:ilvl w:val="0"/>
          <w:numId w:val="13"/>
        </w:numPr>
        <w:shd w:val="clear" w:color="auto" w:fill="auto"/>
        <w:tabs>
          <w:tab w:pos="143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жалобу заявителя ООО «ПО «ЗАРНИЦА»» (вх. №10454 от 27.09.2024г.) на действия заказчика - ГАПОУ "ЧИСТОПОЛЬСКИЙ СЕЛЬСКОХОЗЯЙСТВЕННЫЙ ТЕХНИКУМ ИМ. Г.И. УСМАНОВА" при проведении закупки №0711200021424000002 на предмет: «Оказание услуг по разработке учебно-информационного комплекса и методики обучения на базе иммерсивных технологий в области агропромышленного комплекса», частично обоснованной.</w:t>
      </w:r>
    </w:p>
    <w:p>
      <w:pPr>
        <w:pStyle w:val="Style8"/>
        <w:keepNext w:val="0"/>
        <w:keepLines w:val="0"/>
        <w:widowControl w:val="0"/>
        <w:numPr>
          <w:ilvl w:val="0"/>
          <w:numId w:val="13"/>
        </w:numPr>
        <w:shd w:val="clear" w:color="auto" w:fill="auto"/>
        <w:tabs>
          <w:tab w:pos="143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в действиях заказчика ГАПОУ "ЧИСТОПОЛЬСКИЙ СЕЛЬСКОХОЗЯЙСТВЕННЫЙ ТЕХНИКУМ ИМ. Г.И. УСМАНОВА" нарушение требований пункта 16 Постановления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 2369 и признании утратившими силу некоторых актов и отдельных положений некоторых актов Правительства Российской Федерации", пункта 3 части 1 статьи 32 Федерального закона "О контрактной системе в сфере закупок товаров, работ, услуг для обеспечения государственных и муниципальных нужд" от 05.04.2013 № 44-ФЗ.</w:t>
      </w:r>
    </w:p>
    <w:p>
      <w:pPr>
        <w:pStyle w:val="Style8"/>
        <w:keepNext w:val="0"/>
        <w:keepLines w:val="0"/>
        <w:widowControl w:val="0"/>
        <w:numPr>
          <w:ilvl w:val="0"/>
          <w:numId w:val="13"/>
        </w:numPr>
        <w:shd w:val="clear" w:color="auto" w:fill="auto"/>
        <w:tabs>
          <w:tab w:pos="143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Выдать заказчику ГАПОУ "ЧИСТОПОЛЬСКИЙ СЕЛЬСКОХОЗЯЙСТВЕННЫЙ ТЕХНИКУМ ИМ. Г.И. УСМАНОВА", Оператору</w:t>
        <w:br w:type="page"/>
      </w:r>
      <w:r>
        <w:rPr>
          <w:color w:val="000000"/>
          <w:spacing w:val="0"/>
          <w:w w:val="100"/>
          <w:position w:val="0"/>
          <w:shd w:val="clear" w:color="auto" w:fill="auto"/>
          <w:lang w:val="ru-RU" w:eastAsia="ru-RU" w:bidi="ru-RU"/>
        </w:rPr>
        <w:t>ЭТП предписание об устранении выявленных нарушений.</w:t>
      </w:r>
    </w:p>
    <w:p>
      <w:pPr>
        <w:pStyle w:val="Style8"/>
        <w:keepNext w:val="0"/>
        <w:keepLines w:val="0"/>
        <w:widowControl w:val="0"/>
        <w:numPr>
          <w:ilvl w:val="0"/>
          <w:numId w:val="13"/>
        </w:numPr>
        <w:shd w:val="clear" w:color="auto" w:fill="auto"/>
        <w:tabs>
          <w:tab w:pos="1430" w:val="left"/>
        </w:tabs>
        <w:bidi w:val="0"/>
        <w:spacing w:before="0" w:after="640" w:line="240" w:lineRule="auto"/>
        <w:ind w:left="0" w:right="0" w:firstLine="740"/>
        <w:jc w:val="both"/>
      </w:pPr>
      <w:r>
        <w:rPr>
          <w:color w:val="000000"/>
          <w:spacing w:val="0"/>
          <w:w w:val="100"/>
          <w:position w:val="0"/>
          <w:shd w:val="clear" w:color="auto" w:fill="auto"/>
          <w:lang w:val="ru-RU" w:eastAsia="ru-RU" w:bidi="ru-RU"/>
        </w:rPr>
        <w:t>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Российской Федерации о контрактной системе.</w:t>
      </w:r>
    </w:p>
    <w:p>
      <w:pPr>
        <w:pStyle w:val="Style8"/>
        <w:keepNext w:val="0"/>
        <w:keepLines w:val="0"/>
        <w:widowControl w:val="0"/>
        <w:shd w:val="clear" w:color="auto" w:fill="auto"/>
        <w:bidi w:val="0"/>
        <w:spacing w:before="0" w:after="640" w:line="240" w:lineRule="auto"/>
        <w:ind w:left="0" w:right="0" w:firstLine="740"/>
        <w:jc w:val="both"/>
      </w:pPr>
      <w:r>
        <w:drawing>
          <wp:anchor distT="0" distB="0" distL="0" distR="1088390" simplePos="0" relativeHeight="125829381" behindDoc="0" locked="0" layoutInCell="1" allowOverlap="1">
            <wp:simplePos x="0" y="0"/>
            <wp:positionH relativeFrom="page">
              <wp:posOffset>3798570</wp:posOffset>
            </wp:positionH>
            <wp:positionV relativeFrom="paragraph">
              <wp:posOffset>203200</wp:posOffset>
            </wp:positionV>
            <wp:extent cx="2170430" cy="2633345"/>
            <wp:wrapTight wrapText="bothSides">
              <wp:wrapPolygon>
                <wp:start x="0" y="0"/>
                <wp:lineTo x="21296" y="0"/>
                <wp:lineTo x="21296" y="11600"/>
                <wp:lineTo x="21600" y="11600"/>
                <wp:lineTo x="21600" y="12025"/>
                <wp:lineTo x="21296" y="12025"/>
                <wp:lineTo x="21296" y="21600"/>
                <wp:lineTo x="0" y="21600"/>
                <wp:lineTo x="0" y="0"/>
              </wp:wrapPolygon>
            </wp:wrapTigh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2170430" cy="2633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6050915</wp:posOffset>
                </wp:positionH>
                <wp:positionV relativeFrom="paragraph">
                  <wp:posOffset>821690</wp:posOffset>
                </wp:positionV>
                <wp:extent cx="999490" cy="222250"/>
                <wp:wrapNone/>
                <wp:docPr id="11" name="Shape 11"/>
                <a:graphic xmlns:a="http://schemas.openxmlformats.org/drawingml/2006/main">
                  <a:graphicData uri="http://schemas.microsoft.com/office/word/2010/wordprocessingShape">
                    <wps:wsp>
                      <wps:cNvSpPr txBox="1"/>
                      <wps:spPr>
                        <a:xfrm>
                          <a:ext cx="999490" cy="22225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Яфизов</w:t>
                            </w:r>
                          </w:p>
                        </w:txbxContent>
                      </wps:txbx>
                      <wps:bodyPr lIns="0" tIns="0" rIns="0" bIns="0">
                        <a:noAutoFit/>
                      </wps:bodyPr>
                    </wps:wsp>
                  </a:graphicData>
                </a:graphic>
              </wp:anchor>
            </w:drawing>
          </mc:Choice>
          <mc:Fallback>
            <w:pict>
              <v:shape id="_x0000_s1037" type="#_x0000_t202" style="position:absolute;margin-left:476.44999999999999pt;margin-top:64.700000000000003pt;width:78.700000000000003pt;height:17.5pt;z-index:251657729;mso-wrap-distance-left:0;mso-wrap-distance-right:0;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Яфизов</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5959475</wp:posOffset>
                </wp:positionH>
                <wp:positionV relativeFrom="paragraph">
                  <wp:posOffset>1233170</wp:posOffset>
                </wp:positionV>
                <wp:extent cx="1045210" cy="222250"/>
                <wp:wrapNone/>
                <wp:docPr id="13" name="Shape 13"/>
                <a:graphic xmlns:a="http://schemas.openxmlformats.org/drawingml/2006/main">
                  <a:graphicData uri="http://schemas.microsoft.com/office/word/2010/wordprocessingShape">
                    <wps:wsp>
                      <wps:cNvSpPr txBox="1"/>
                      <wps:spPr>
                        <a:xfrm>
                          <a:ext cx="1045210" cy="22225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Г.Р. Курмаева</w:t>
                            </w:r>
                          </w:p>
                        </w:txbxContent>
                      </wps:txbx>
                      <wps:bodyPr lIns="0" tIns="0" rIns="0" bIns="0">
                        <a:noAutoFit/>
                      </wps:bodyPr>
                    </wps:wsp>
                  </a:graphicData>
                </a:graphic>
              </wp:anchor>
            </w:drawing>
          </mc:Choice>
          <mc:Fallback>
            <w:pict>
              <v:shape id="_x0000_s1039" type="#_x0000_t202" style="position:absolute;margin-left:469.25pt;margin-top:97.100000000000009pt;width:82.299999999999997pt;height:17.5pt;z-index:251657731;mso-wrap-distance-left:0;mso-wrap-distance-right:0;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Г.Р. Курмаева</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5913755</wp:posOffset>
                </wp:positionH>
                <wp:positionV relativeFrom="paragraph">
                  <wp:posOffset>1644650</wp:posOffset>
                </wp:positionV>
                <wp:extent cx="1139825" cy="216535"/>
                <wp:wrapNone/>
                <wp:docPr id="15" name="Shape 15"/>
                <a:graphic xmlns:a="http://schemas.openxmlformats.org/drawingml/2006/main">
                  <a:graphicData uri="http://schemas.microsoft.com/office/word/2010/wordprocessingShape">
                    <wps:wsp>
                      <wps:cNvSpPr txBox="1"/>
                      <wps:spPr>
                        <a:xfrm>
                          <a:ext cx="1139825" cy="21653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И.Г. Никитина</w:t>
                            </w:r>
                          </w:p>
                        </w:txbxContent>
                      </wps:txbx>
                      <wps:bodyPr lIns="0" tIns="0" rIns="0" bIns="0">
                        <a:noAutoFit/>
                      </wps:bodyPr>
                    </wps:wsp>
                  </a:graphicData>
                </a:graphic>
              </wp:anchor>
            </w:drawing>
          </mc:Choice>
          <mc:Fallback>
            <w:pict>
              <v:shape id="_x0000_s1041" type="#_x0000_t202" style="position:absolute;margin-left:465.65000000000003pt;margin-top:129.5pt;width:89.75pt;height:17.050000000000001pt;z-index:251657733;mso-wrap-distance-left:0;mso-wrap-distance-right:0;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И.Г. Никитина</w:t>
                      </w:r>
                    </w:p>
                  </w:txbxContent>
                </v:textbox>
                <w10:wrap anchorx="page"/>
              </v:shape>
            </w:pict>
          </mc:Fallback>
        </mc:AlternateContent>
      </w:r>
      <w:r>
        <mc:AlternateContent>
          <mc:Choice Requires="wps">
            <w:drawing>
              <wp:anchor distT="0" distB="402590" distL="114300" distR="114300" simplePos="0" relativeHeight="125829382" behindDoc="0" locked="0" layoutInCell="1" allowOverlap="1">
                <wp:simplePos x="0" y="0"/>
                <wp:positionH relativeFrom="page">
                  <wp:posOffset>714375</wp:posOffset>
                </wp:positionH>
                <wp:positionV relativeFrom="paragraph">
                  <wp:posOffset>825500</wp:posOffset>
                </wp:positionV>
                <wp:extent cx="1941830" cy="225425"/>
                <wp:wrapTopAndBottom/>
                <wp:docPr id="17" name="Shape 17"/>
                <a:graphic xmlns:a="http://schemas.openxmlformats.org/drawingml/2006/main">
                  <a:graphicData uri="http://schemas.microsoft.com/office/word/2010/wordprocessingShape">
                    <wps:wsp>
                      <wps:cNvSpPr txBox="1"/>
                      <wps:spPr>
                        <a:xfrm>
                          <a:ext cx="1941830" cy="22542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43" type="#_x0000_t202" style="position:absolute;margin-left:56.25pt;margin-top:65.pt;width:152.90000000000001pt;height:17.75pt;z-index:-125829371;mso-wrap-distance-left:9.pt;mso-wrap-distance-right:9.pt;mso-wrap-distance-bottom:31.69999999999999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mc:AlternateContent>
          <mc:Choice Requires="wps">
            <w:drawing>
              <wp:anchor distT="411480" distB="0" distL="114300" distR="666115" simplePos="0" relativeHeight="125829384" behindDoc="0" locked="0" layoutInCell="1" allowOverlap="1">
                <wp:simplePos x="0" y="0"/>
                <wp:positionH relativeFrom="page">
                  <wp:posOffset>714375</wp:posOffset>
                </wp:positionH>
                <wp:positionV relativeFrom="paragraph">
                  <wp:posOffset>1236980</wp:posOffset>
                </wp:positionV>
                <wp:extent cx="1390015" cy="216535"/>
                <wp:wrapTopAndBottom/>
                <wp:docPr id="19" name="Shape 19"/>
                <a:graphic xmlns:a="http://schemas.openxmlformats.org/drawingml/2006/main">
                  <a:graphicData uri="http://schemas.microsoft.com/office/word/2010/wordprocessingShape">
                    <wps:wsp>
                      <wps:cNvSpPr txBox="1"/>
                      <wps:spPr>
                        <a:xfrm>
                          <a:ext cx="1390015" cy="21653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5" type="#_x0000_t202" style="position:absolute;margin-left:56.25pt;margin-top:97.400000000000006pt;width:109.45pt;height:17.050000000000001pt;z-index:-125829369;mso-wrap-distance-left:9.pt;mso-wrap-distance-top:32.399999999999999pt;mso-wrap-distance-right:52.450000000000003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rPr>
          <w:color w:val="000000"/>
          <w:spacing w:val="0"/>
          <w:w w:val="100"/>
          <w:position w:val="0"/>
          <w:shd w:val="clear" w:color="auto" w:fill="auto"/>
          <w:lang w:val="ru-RU" w:eastAsia="ru-RU" w:bidi="ru-RU"/>
        </w:rPr>
        <w:t>Решение Комиссии может быть обжаловано в судебном, порядке в течение трех месяцев со дня его принятия.</w:t>
      </w:r>
    </w:p>
    <w:p>
      <w:pPr>
        <w:pStyle w:val="Style2"/>
        <w:keepNext w:val="0"/>
        <w:keepLines w:val="0"/>
        <w:widowControl w:val="0"/>
        <w:shd w:val="clear" w:color="auto" w:fill="auto"/>
        <w:bidi w:val="0"/>
        <w:spacing w:before="8020" w:after="0" w:line="240" w:lineRule="auto"/>
        <w:ind w:left="0" w:right="0" w:firstLine="0"/>
        <w:jc w:val="both"/>
      </w:pPr>
      <w:r>
        <w:rPr>
          <w:b w:val="0"/>
          <w:bCs w:val="0"/>
          <w:color w:val="000000"/>
          <w:spacing w:val="0"/>
          <w:w w:val="100"/>
          <w:position w:val="0"/>
          <w:sz w:val="24"/>
          <w:szCs w:val="24"/>
          <w:shd w:val="clear" w:color="auto" w:fill="auto"/>
          <w:lang w:val="ru-RU" w:eastAsia="ru-RU" w:bidi="ru-RU"/>
        </w:rPr>
        <w:t>Исп.: Никитина И.Г.</w:t>
      </w:r>
    </w:p>
    <w:p>
      <w:pPr>
        <w:pStyle w:val="Style2"/>
        <w:keepNext w:val="0"/>
        <w:keepLines w:val="0"/>
        <w:widowControl w:val="0"/>
        <w:shd w:val="clear" w:color="auto" w:fill="auto"/>
        <w:bidi w:val="0"/>
        <w:spacing w:before="0" w:after="0" w:line="240" w:lineRule="auto"/>
        <w:ind w:left="0" w:right="0" w:firstLine="0"/>
        <w:jc w:val="both"/>
      </w:pPr>
      <w:r>
        <w:rPr>
          <w:b w:val="0"/>
          <w:bCs w:val="0"/>
          <w:color w:val="000000"/>
          <w:spacing w:val="0"/>
          <w:w w:val="100"/>
          <w:position w:val="0"/>
          <w:sz w:val="24"/>
          <w:szCs w:val="24"/>
          <w:shd w:val="clear" w:color="auto" w:fill="auto"/>
          <w:lang w:val="ru-RU" w:eastAsia="ru-RU" w:bidi="ru-RU"/>
        </w:rPr>
        <w:t>Тел. 8(843)293-10-91</w:t>
      </w:r>
    </w:p>
    <w:sectPr>
      <w:headerReference w:type="default" r:id="rId13"/>
      <w:footerReference w:type="default" r:id="rId14"/>
      <w:footnotePr>
        <w:pos w:val="pageBottom"/>
        <w:numFmt w:val="decimal"/>
        <w:numRestart w:val="continuous"/>
      </w:footnotePr>
      <w:type w:val="continuous"/>
      <w:pgSz w:w="11900" w:h="16840"/>
      <w:pgMar w:top="1018" w:right="604" w:bottom="1215" w:left="976" w:header="0" w:footer="787"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796290</wp:posOffset>
              </wp:positionH>
              <wp:positionV relativeFrom="page">
                <wp:posOffset>10260330</wp:posOffset>
              </wp:positionV>
              <wp:extent cx="563880" cy="121920"/>
              <wp:wrapNone/>
              <wp:docPr id="7" name="Shape 7"/>
              <a:graphic xmlns:a="http://schemas.openxmlformats.org/drawingml/2006/main">
                <a:graphicData uri="http://schemas.microsoft.com/office/word/2010/wordprocessingShape">
                  <wps:wsp>
                    <wps:cNvSpPr txBox="1"/>
                    <wps:spPr>
                      <a:xfrm>
                        <a:ext cx="563880" cy="12192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234920</w:t>
                          </w:r>
                        </w:p>
                      </w:txbxContent>
                    </wps:txbx>
                    <wps:bodyPr wrap="none" lIns="0" tIns="0" rIns="0" bIns="0">
                      <a:spAutoFit/>
                    </wps:bodyPr>
                  </wps:wsp>
                </a:graphicData>
              </a:graphic>
            </wp:anchor>
          </w:drawing>
        </mc:Choice>
        <mc:Fallback>
          <w:pict>
            <v:shape id="_x0000_s1033" type="#_x0000_t202" style="position:absolute;margin-left:62.700000000000003pt;margin-top:807.89999999999998pt;width:44.399999999999999pt;height:9.5999999999999996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234920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3862705</wp:posOffset>
              </wp:positionH>
              <wp:positionV relativeFrom="page">
                <wp:posOffset>479425</wp:posOffset>
              </wp:positionV>
              <wp:extent cx="64135" cy="103505"/>
              <wp:wrapNone/>
              <wp:docPr id="5" name="Shape 5"/>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4.15000000000003pt;margin-top:37.75pt;width:5.0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3874770</wp:posOffset>
              </wp:positionH>
              <wp:positionV relativeFrom="page">
                <wp:posOffset>463550</wp:posOffset>
              </wp:positionV>
              <wp:extent cx="54610" cy="106680"/>
              <wp:wrapNone/>
              <wp:docPr id="21" name="Shape 21"/>
              <a:graphic xmlns:a="http://schemas.openxmlformats.org/drawingml/2006/main">
                <a:graphicData uri="http://schemas.microsoft.com/office/word/2010/wordprocessingShape">
                  <wps:wsp>
                    <wps:cNvSpPr txBox="1"/>
                    <wps:spPr>
                      <a:xfrm>
                        <a:ext cx="54610" cy="1066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7" type="#_x0000_t202" style="position:absolute;margin-left:305.10000000000002pt;margin-top:36.5pt;width:4.2999999999999998pt;height:8.4000000000000004pt;z-index:-188744059;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bCs/>
      <w:i w:val="0"/>
      <w:iCs w:val="0"/>
      <w:smallCaps w:val="0"/>
      <w:strike w:val="0"/>
      <w:color w:val="6A90C9"/>
      <w:u w:val="none"/>
    </w:rPr>
  </w:style>
  <w:style w:type="character" w:customStyle="1" w:styleId="CharStyle5">
    <w:name w:val="Основной текст (3)_"/>
    <w:basedOn w:val="DefaultParagraphFont"/>
    <w:link w:val="Style4"/>
    <w:rPr>
      <w:rFonts w:ascii="Times New Roman" w:eastAsia="Times New Roman" w:hAnsi="Times New Roman" w:cs="Times New Roman"/>
      <w:b w:val="0"/>
      <w:bCs w:val="0"/>
      <w:i w:val="0"/>
      <w:iCs w:val="0"/>
      <w:smallCaps w:val="0"/>
      <w:strike w:val="0"/>
      <w:color w:val="4C6895"/>
      <w:sz w:val="15"/>
      <w:szCs w:val="15"/>
      <w:u w:val="none"/>
    </w:rPr>
  </w:style>
  <w:style w:type="character" w:customStyle="1" w:styleId="CharStyle7">
    <w:name w:val="Подпись к картинке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2)"/>
    <w:basedOn w:val="Normal"/>
    <w:link w:val="CharStyle3"/>
    <w:pPr>
      <w:widowControl w:val="0"/>
      <w:shd w:val="clear" w:color="auto" w:fill="auto"/>
      <w:spacing w:after="280"/>
      <w:jc w:val="center"/>
    </w:pPr>
    <w:rPr>
      <w:rFonts w:ascii="Times New Roman" w:eastAsia="Times New Roman" w:hAnsi="Times New Roman" w:cs="Times New Roman"/>
      <w:b/>
      <w:bCs/>
      <w:i w:val="0"/>
      <w:iCs w:val="0"/>
      <w:smallCaps w:val="0"/>
      <w:strike w:val="0"/>
      <w:color w:val="6A90C9"/>
      <w:u w:val="none"/>
    </w:rPr>
  </w:style>
  <w:style w:type="paragraph" w:customStyle="1" w:styleId="Style4">
    <w:name w:val="Основной текст (3)"/>
    <w:basedOn w:val="Normal"/>
    <w:link w:val="CharStyle5"/>
    <w:pPr>
      <w:widowControl w:val="0"/>
      <w:shd w:val="clear" w:color="auto" w:fill="auto"/>
      <w:spacing w:after="610" w:line="283" w:lineRule="auto"/>
      <w:jc w:val="center"/>
    </w:pPr>
    <w:rPr>
      <w:rFonts w:ascii="Times New Roman" w:eastAsia="Times New Roman" w:hAnsi="Times New Roman" w:cs="Times New Roman"/>
      <w:b w:val="0"/>
      <w:bCs w:val="0"/>
      <w:i w:val="0"/>
      <w:iCs w:val="0"/>
      <w:smallCaps w:val="0"/>
      <w:strike w:val="0"/>
      <w:color w:val="4C6895"/>
      <w:sz w:val="15"/>
      <w:szCs w:val="15"/>
      <w:u w:val="none"/>
    </w:rPr>
  </w:style>
  <w:style w:type="paragraph" w:customStyle="1" w:styleId="Style6">
    <w:name w:val="Подпись к картинке"/>
    <w:basedOn w:val="Normal"/>
    <w:link w:val="CharStyle7"/>
    <w:pPr>
      <w:widowControl w:val="0"/>
      <w:shd w:val="clear" w:color="auto" w:fill="auto"/>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Основной текст"/>
    <w:basedOn w:val="Normal"/>
    <w:link w:val="CharStyle9"/>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header" Target="header3.xml"/><Relationship Id="rId14" Type="http://schemas.openxmlformats.org/officeDocument/2006/relationships/footer" Target="footer3.xml"/></Relationships>
</file>