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723900</wp:posOffset>
                </wp:positionH>
                <wp:positionV relativeFrom="paragraph">
                  <wp:posOffset>716280</wp:posOffset>
                </wp:positionV>
                <wp:extent cx="2578735" cy="1752600"/>
                <wp:wrapSquare wrapText="bothSides"/>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6.399999999999999pt;width:203.05000000000001pt;height:138.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anchorx="page"/>
              </v:shape>
            </w:pict>
          </mc:Fallback>
        </mc:AlternateContent>
      </w:r>
      <w:r>
        <w:drawing>
          <wp:anchor distT="435610" distB="0" distL="3175" distR="0" simplePos="0" relativeHeight="125829381" behindDoc="0" locked="0" layoutInCell="1" allowOverlap="1">
            <wp:simplePos x="0" y="0"/>
            <wp:positionH relativeFrom="page">
              <wp:posOffset>727075</wp:posOffset>
            </wp:positionH>
            <wp:positionV relativeFrom="paragraph">
              <wp:posOffset>3081020</wp:posOffset>
            </wp:positionV>
            <wp:extent cx="2597150" cy="18288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2645410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8.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ru-RU" w:eastAsia="ru-RU" w:bidi="ru-RU"/>
        </w:rPr>
        <w:t>ОБЩЕСТВО С ОГРАНИЧЕННОЙ ОТВЕТСТВЕННОСТЬЮ "ЛЮММЕД" 620902, РЕГИОН СВЕРДЛОВСКАЯ ОБЛАСТЬ, РАЙОН ГОРОД</w:t>
      </w:r>
    </w:p>
    <w:p>
      <w:pPr>
        <w:pStyle w:val="Style10"/>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ru-RU" w:eastAsia="ru-RU" w:bidi="ru-RU"/>
        </w:rPr>
        <w:t>ЕКАТЕРИНБУРГ, С ГОРНЫЙ ЩИТ, УЛ БУДЕННОГО, 87</w:t>
      </w:r>
    </w:p>
    <w:p>
      <w:pPr>
        <w:pStyle w:val="Style10"/>
        <w:keepNext w:val="0"/>
        <w:keepLines w:val="0"/>
        <w:widowControl w:val="0"/>
        <w:shd w:val="clear" w:color="auto" w:fill="auto"/>
        <w:bidi w:val="0"/>
        <w:spacing w:before="0" w:after="280" w:line="240" w:lineRule="auto"/>
        <w:ind w:left="1200" w:right="0" w:firstLine="0"/>
        <w:jc w:val="left"/>
      </w:pPr>
      <w:r>
        <w:rPr>
          <w:color w:val="000000"/>
          <w:spacing w:val="0"/>
          <w:w w:val="100"/>
          <w:position w:val="0"/>
          <w:shd w:val="clear" w:color="auto" w:fill="auto"/>
          <w:lang w:val="ru-RU" w:eastAsia="ru-RU" w:bidi="ru-RU"/>
        </w:rPr>
        <w:t>ЪиККттед@уапдех.ги</w:t>
      </w:r>
    </w:p>
    <w:p>
      <w:pPr>
        <w:pStyle w:val="Style10"/>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ru-RU" w:eastAsia="ru-RU" w:bidi="ru-RU"/>
        </w:rPr>
        <w:t>КОМИТЕТ ГОСЗАКАЗА</w:t>
      </w:r>
    </w:p>
    <w:p>
      <w:pPr>
        <w:pStyle w:val="Style10"/>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ru-RU" w:eastAsia="ru-RU" w:bidi="ru-RU"/>
        </w:rPr>
        <w:t>ИНГУШЕТИИ</w:t>
      </w:r>
    </w:p>
    <w:p>
      <w:pPr>
        <w:pStyle w:val="Style10"/>
        <w:keepNext w:val="0"/>
        <w:keepLines w:val="0"/>
        <w:widowControl w:val="0"/>
        <w:shd w:val="clear" w:color="auto" w:fill="auto"/>
        <w:bidi w:val="0"/>
        <w:spacing w:before="0" w:after="280" w:line="240" w:lineRule="auto"/>
        <w:ind w:left="1200" w:right="0" w:firstLine="0"/>
        <w:jc w:val="left"/>
      </w:pPr>
      <w:r>
        <w:rPr>
          <w:color w:val="000000"/>
          <w:spacing w:val="0"/>
          <w:w w:val="100"/>
          <w:position w:val="0"/>
          <w:shd w:val="clear" w:color="auto" w:fill="auto"/>
          <w:lang w:val="ru-RU" w:eastAsia="ru-RU" w:bidi="ru-RU"/>
        </w:rPr>
        <w:t>хака7Л@тай.ги, xауаVкап@та^1.^и</w:t>
      </w:r>
    </w:p>
    <w:p>
      <w:pPr>
        <w:pStyle w:val="Style10"/>
        <w:keepNext w:val="0"/>
        <w:keepLines w:val="0"/>
        <w:widowControl w:val="0"/>
        <w:shd w:val="clear" w:color="auto" w:fill="auto"/>
        <w:bidi w:val="0"/>
        <w:spacing w:before="0" w:after="280" w:line="240" w:lineRule="auto"/>
        <w:ind w:left="1200" w:right="0" w:firstLine="0"/>
        <w:jc w:val="left"/>
      </w:pPr>
      <w:r>
        <w:rPr>
          <w:color w:val="000000"/>
          <w:spacing w:val="0"/>
          <w:w w:val="100"/>
          <w:position w:val="0"/>
          <w:shd w:val="clear" w:color="auto" w:fill="auto"/>
          <w:lang w:val="ru-RU" w:eastAsia="ru-RU" w:bidi="ru-RU"/>
        </w:rPr>
        <w:t>Государственное бюджетное учреждение «Ингушская республиканская клиническая больница» им. А.О. Ахушкова» 386106, Республика Ингушетия, г. Назрань, тер Центральный округ, ул. Х.Б.Муталиева, д.11 йкЪхакирИ@тай.ги, гкЪ@тдо^ги</w:t>
      </w:r>
    </w:p>
    <w:p>
      <w:pPr>
        <w:pStyle w:val="Style10"/>
        <w:keepNext w:val="0"/>
        <w:keepLines w:val="0"/>
        <w:widowControl w:val="0"/>
        <w:shd w:val="clear" w:color="auto" w:fill="auto"/>
        <w:bidi w:val="0"/>
        <w:spacing w:before="0" w:after="1360" w:line="240" w:lineRule="auto"/>
        <w:ind w:left="1200" w:right="0" w:firstLine="0"/>
        <w:jc w:val="left"/>
      </w:pPr>
      <w:r>
        <w:rPr>
          <w:color w:val="000000"/>
          <w:spacing w:val="0"/>
          <w:w w:val="100"/>
          <w:position w:val="0"/>
          <w:shd w:val="clear" w:color="auto" w:fill="auto"/>
          <w:lang w:val="ru-RU" w:eastAsia="ru-RU" w:bidi="ru-RU"/>
        </w:rPr>
        <w:t>АО «ЕЭТП» ко@го8екогд.ги</w:t>
      </w:r>
    </w:p>
    <w:p>
      <w:pPr>
        <w:pStyle w:val="Style10"/>
        <w:keepNext w:val="0"/>
        <w:keepLines w:val="0"/>
        <w:widowControl w:val="0"/>
        <w:shd w:val="clear" w:color="auto" w:fill="auto"/>
        <w:bidi w:val="0"/>
        <w:spacing w:before="0" w:after="80" w:line="240" w:lineRule="auto"/>
        <w:ind w:left="0" w:right="0" w:firstLine="340"/>
        <w:jc w:val="left"/>
        <w:rPr>
          <w:sz w:val="26"/>
          <w:szCs w:val="26"/>
        </w:rPr>
      </w:pPr>
      <w:r>
        <w:rPr>
          <w:color w:val="000000"/>
          <w:spacing w:val="0"/>
          <w:w w:val="100"/>
          <w:position w:val="0"/>
          <w:sz w:val="26"/>
          <w:szCs w:val="26"/>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1340" w:right="0" w:hanging="240"/>
        <w:jc w:val="left"/>
        <w:rPr>
          <w:sz w:val="26"/>
          <w:szCs w:val="26"/>
        </w:rPr>
      </w:pPr>
      <w:r>
        <w:rPr>
          <w:color w:val="000000"/>
          <w:spacing w:val="0"/>
          <w:w w:val="100"/>
          <w:position w:val="0"/>
          <w:sz w:val="26"/>
          <w:szCs w:val="26"/>
          <w:shd w:val="clear" w:color="auto" w:fill="auto"/>
          <w:lang w:val="ru-RU" w:eastAsia="ru-RU" w:bidi="ru-RU"/>
        </w:rPr>
        <w:t>по делу № 006/06/105-514/2024 о нарушении законодательства о контрактной системе</w:t>
      </w:r>
    </w:p>
    <w:p>
      <w:pPr>
        <w:pStyle w:val="Style10"/>
        <w:keepNext w:val="0"/>
        <w:keepLines w:val="0"/>
        <w:widowControl w:val="0"/>
        <w:shd w:val="clear" w:color="auto" w:fill="auto"/>
        <w:bidi w:val="0"/>
        <w:spacing w:before="0" w:after="0" w:line="240" w:lineRule="auto"/>
        <w:ind w:left="4500" w:right="0" w:firstLine="0"/>
        <w:jc w:val="left"/>
        <w:rPr>
          <w:sz w:val="26"/>
          <w:szCs w:val="26"/>
        </w:rPr>
      </w:pPr>
      <w:r>
        <w:rPr>
          <w:color w:val="000000"/>
          <w:spacing w:val="0"/>
          <w:w w:val="100"/>
          <w:position w:val="0"/>
          <w:sz w:val="26"/>
          <w:szCs w:val="26"/>
          <w:shd w:val="clear" w:color="auto" w:fill="auto"/>
          <w:lang w:val="ru-RU" w:eastAsia="ru-RU" w:bidi="ru-RU"/>
        </w:rPr>
        <w:t>г. Назрань</w:t>
      </w:r>
    </w:p>
    <w:p>
      <w:pPr>
        <w:pStyle w:val="Style10"/>
        <w:keepNext w:val="0"/>
        <w:keepLines w:val="0"/>
        <w:widowControl w:val="0"/>
        <w:shd w:val="clear" w:color="auto" w:fill="auto"/>
        <w:bidi w:val="0"/>
        <w:spacing w:before="0" w:after="0" w:line="240" w:lineRule="auto"/>
        <w:ind w:left="0" w:right="0" w:hanging="4100"/>
        <w:jc w:val="left"/>
        <w:rPr>
          <w:sz w:val="26"/>
          <w:szCs w:val="26"/>
        </w:rPr>
      </w:pPr>
      <w:r>
        <w:rPr>
          <w:color w:val="000000"/>
          <w:spacing w:val="0"/>
          <w:w w:val="100"/>
          <w:position w:val="0"/>
          <w:sz w:val="26"/>
          <w:szCs w:val="26"/>
          <w:shd w:val="clear" w:color="auto" w:fill="auto"/>
          <w:lang w:val="ru-RU" w:eastAsia="ru-RU" w:bidi="ru-RU"/>
        </w:rPr>
        <w:t>Резолютивная часть решения объявлена 04 октября 2024 года</w:t>
      </w:r>
    </w:p>
    <w:p>
      <w:pPr>
        <w:pStyle w:val="Style10"/>
        <w:keepNext w:val="0"/>
        <w:keepLines w:val="0"/>
        <w:widowControl w:val="0"/>
        <w:shd w:val="clear" w:color="auto" w:fill="auto"/>
        <w:bidi w:val="0"/>
        <w:spacing w:before="0" w:after="280" w:line="240" w:lineRule="auto"/>
        <w:ind w:left="0" w:right="0" w:hanging="4100"/>
        <w:jc w:val="left"/>
        <w:rPr>
          <w:sz w:val="26"/>
          <w:szCs w:val="26"/>
        </w:rPr>
      </w:pPr>
      <w:r>
        <w:rPr>
          <w:color w:val="000000"/>
          <w:spacing w:val="0"/>
          <w:w w:val="100"/>
          <w:position w:val="0"/>
          <w:sz w:val="26"/>
          <w:szCs w:val="26"/>
          <w:shd w:val="clear" w:color="auto" w:fill="auto"/>
          <w:lang w:val="ru-RU" w:eastAsia="ru-RU" w:bidi="ru-RU"/>
        </w:rPr>
        <w:t>В полном объеме решение изготовлено 07 октября 2024 года</w:t>
      </w:r>
    </w:p>
    <w:p>
      <w:pPr>
        <w:pStyle w:val="Style10"/>
        <w:keepNext w:val="0"/>
        <w:keepLines w:val="0"/>
        <w:widowControl w:val="0"/>
        <w:shd w:val="clear" w:color="auto" w:fill="auto"/>
        <w:bidi w:val="0"/>
        <w:spacing w:before="0" w:after="0" w:line="240" w:lineRule="auto"/>
        <w:ind w:left="-4100" w:right="0" w:firstLine="700"/>
        <w:jc w:val="left"/>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0"/>
        <w:keepNext w:val="0"/>
        <w:keepLines w:val="0"/>
        <w:widowControl w:val="0"/>
        <w:shd w:val="clear" w:color="auto" w:fill="auto"/>
        <w:bidi w:val="0"/>
        <w:spacing w:before="0" w:after="0" w:line="240" w:lineRule="auto"/>
        <w:ind w:left="-4100" w:right="0" w:firstLine="700"/>
        <w:jc w:val="left"/>
        <w:rPr>
          <w:sz w:val="26"/>
          <w:szCs w:val="26"/>
        </w:rPr>
      </w:pPr>
      <w:r>
        <w:rPr>
          <w:color w:val="000000"/>
          <w:spacing w:val="0"/>
          <w:w w:val="100"/>
          <w:position w:val="0"/>
          <w:sz w:val="26"/>
          <w:szCs w:val="26"/>
          <w:shd w:val="clear" w:color="auto" w:fill="auto"/>
          <w:lang w:val="ru-RU" w:eastAsia="ru-RU" w:bidi="ru-RU"/>
        </w:rPr>
        <w:t>Председатель комиссии: Р.В. Евлоев - Врио руководителя Управления;</w:t>
      </w:r>
    </w:p>
    <w:p>
      <w:pPr>
        <w:pStyle w:val="Style10"/>
        <w:keepNext w:val="0"/>
        <w:keepLines w:val="0"/>
        <w:widowControl w:val="0"/>
        <w:shd w:val="clear" w:color="auto" w:fill="auto"/>
        <w:bidi w:val="0"/>
        <w:spacing w:before="0" w:after="0" w:line="240" w:lineRule="auto"/>
        <w:ind w:left="0" w:right="0" w:hanging="3400"/>
        <w:jc w:val="left"/>
        <w:rPr>
          <w:sz w:val="26"/>
          <w:szCs w:val="26"/>
        </w:rPr>
      </w:pPr>
      <w:r>
        <w:rPr>
          <w:color w:val="000000"/>
          <w:spacing w:val="0"/>
          <w:w w:val="100"/>
          <w:position w:val="0"/>
          <w:sz w:val="26"/>
          <w:szCs w:val="26"/>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hanging="3400"/>
        <w:jc w:val="left"/>
        <w:rPr>
          <w:sz w:val="26"/>
          <w:szCs w:val="26"/>
        </w:rPr>
      </w:pPr>
      <w:r>
        <w:rPr>
          <w:color w:val="000000"/>
          <w:spacing w:val="0"/>
          <w:w w:val="100"/>
          <w:position w:val="0"/>
          <w:sz w:val="26"/>
          <w:szCs w:val="26"/>
          <w:shd w:val="clear" w:color="auto" w:fill="auto"/>
          <w:lang w:val="ru-RU" w:eastAsia="ru-RU" w:bidi="ru-RU"/>
        </w:rPr>
        <w:t>А.А. Аушев - начальник отдела контроля торгов Управления;</w:t>
      </w:r>
    </w:p>
    <w:p>
      <w:pPr>
        <w:pStyle w:val="Style10"/>
        <w:keepNext w:val="0"/>
        <w:keepLines w:val="0"/>
        <w:widowControl w:val="0"/>
        <w:shd w:val="clear" w:color="auto" w:fill="auto"/>
        <w:bidi w:val="0"/>
        <w:spacing w:before="0" w:after="0" w:line="240" w:lineRule="auto"/>
        <w:ind w:left="0" w:right="0" w:hanging="3400"/>
        <w:jc w:val="left"/>
        <w:rPr>
          <w:sz w:val="26"/>
          <w:szCs w:val="26"/>
        </w:rPr>
        <w:sectPr>
          <w:footerReference w:type="default" r:id="rId9"/>
          <w:footerReference w:type="even" r:id="rId10"/>
          <w:footnotePr>
            <w:pos w:val="pageBottom"/>
            <w:numFmt w:val="decimal"/>
            <w:numRestart w:val="continuous"/>
          </w:footnotePr>
          <w:pgSz w:w="11900" w:h="16840"/>
          <w:pgMar w:top="284" w:right="555" w:bottom="1313" w:left="5229" w:header="0" w:footer="3" w:gutter="0"/>
          <w:pgNumType w:start="1"/>
          <w:cols w:space="720"/>
          <w:noEndnote/>
          <w:rtlGutter w:val="0"/>
          <w:docGrid w:linePitch="360"/>
        </w:sectPr>
      </w:pPr>
      <w:r>
        <w:rPr>
          <w:color w:val="000000"/>
          <w:spacing w:val="0"/>
          <w:w w:val="100"/>
          <w:position w:val="0"/>
          <w:sz w:val="26"/>
          <w:szCs w:val="26"/>
          <w:shd w:val="clear" w:color="auto" w:fill="auto"/>
          <w:lang w:val="ru-RU" w:eastAsia="ru-RU" w:bidi="ru-RU"/>
        </w:rPr>
        <w:t>А.Б. Торшкоев - ведущий специалист-эксперт Управления.</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455" w:line="1" w:lineRule="exact"/>
      </w:pPr>
      <w:r>
        <w:drawing>
          <wp:anchor distT="0" distB="0" distL="0" distR="0" simplePos="0" relativeHeight="62914694" behindDoc="1" locked="0" layoutInCell="1" allowOverlap="1">
            <wp:simplePos x="0" y="0"/>
            <wp:positionH relativeFrom="page">
              <wp:posOffset>714375</wp:posOffset>
            </wp:positionH>
            <wp:positionV relativeFrom="paragraph">
              <wp:posOffset>12700</wp:posOffset>
            </wp:positionV>
            <wp:extent cx="1517650" cy="29273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55" w:bottom="1216" w:left="1125"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присутствии представителей:</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заказчика - ГБУ «ИРКБ имени А.О. Ахушкова» (далее - Заказчик) - А.Г. Арчакова (по доверенности);</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заявителя жалобы: ООО «Люммед» - (далее - Заявитель) - Н.С. Мокина (по доверенности);</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отсутствии представителя уполномоченного органа - Комитета государственного заказа Республики Ингушетия (далее - Уполномоченный орган);</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Все стороны уведомлены надлежащим образом, заявлений и ходатайств не поступало.</w:t>
      </w:r>
    </w:p>
    <w:p>
      <w:pPr>
        <w:pStyle w:val="Style10"/>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0114500000824001938 (объект закупки: поставка медицинских изделий, ввод в эксплуатацию медицинских изделий, обучение правилам эксплуатации специалистов, эксплуатирующих медицинское изделие, для ГБУ «Ингушская республиканская клиническая больница имени А.О. Ахушкова»)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0"/>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ххлхлу./акиркгдоу.ги (далее - ЕИС) размещено извещение о проведении Закупки.</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Согласно жалобе Заказчиком допущены следующие нарушения:</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1) не установлено ограничение согласно статьи 14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2) описание объекта Закупки составлено под конкретного производителя.</w:t>
      </w:r>
    </w:p>
    <w:p>
      <w:pPr>
        <w:pStyle w:val="Style10"/>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03.10.2024 Комиссией Управления был объявлен перерыв в рассмотрении жалобы и проведении внеплановой проверки до 04.10.2024.</w:t>
      </w:r>
    </w:p>
    <w:p>
      <w:pPr>
        <w:pStyle w:val="Style10"/>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извещение об осуществлении закупки размещено в ЕИС - 20.09.2024;</w:t>
      </w:r>
    </w:p>
    <w:p>
      <w:pPr>
        <w:pStyle w:val="Style10"/>
        <w:keepNext w:val="0"/>
        <w:keepLines w:val="0"/>
        <w:widowControl w:val="0"/>
        <w:numPr>
          <w:ilvl w:val="0"/>
          <w:numId w:val="1"/>
        </w:numPr>
        <w:shd w:val="clear" w:color="auto" w:fill="auto"/>
        <w:tabs>
          <w:tab w:pos="1112"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способ определения поставщика (подрядчика, исполнителя) - электронный аукцион;</w:t>
      </w:r>
    </w:p>
    <w:p>
      <w:pPr>
        <w:pStyle w:val="Style10"/>
        <w:keepNext w:val="0"/>
        <w:keepLines w:val="0"/>
        <w:widowControl w:val="0"/>
        <w:numPr>
          <w:ilvl w:val="0"/>
          <w:numId w:val="1"/>
        </w:numPr>
        <w:shd w:val="clear" w:color="auto" w:fill="auto"/>
        <w:tabs>
          <w:tab w:pos="1122"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начальная (максимальная) цена контракта - 313 100,00 рублей;</w:t>
      </w:r>
    </w:p>
    <w:p>
      <w:pPr>
        <w:pStyle w:val="Style10"/>
        <w:keepNext w:val="0"/>
        <w:keepLines w:val="0"/>
        <w:widowControl w:val="0"/>
        <w:numPr>
          <w:ilvl w:val="0"/>
          <w:numId w:val="1"/>
        </w:numPr>
        <w:shd w:val="clear" w:color="auto" w:fill="auto"/>
        <w:tabs>
          <w:tab w:pos="1126"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дата и время окончания подачи заявок - 30.09.2024 09:00;</w:t>
      </w:r>
    </w:p>
    <w:p>
      <w:pPr>
        <w:pStyle w:val="Style10"/>
        <w:keepNext w:val="0"/>
        <w:keepLines w:val="0"/>
        <w:widowControl w:val="0"/>
        <w:numPr>
          <w:ilvl w:val="0"/>
          <w:numId w:val="1"/>
        </w:numPr>
        <w:shd w:val="clear" w:color="auto" w:fill="auto"/>
        <w:tabs>
          <w:tab w:pos="1112"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дата подведения итогов определения поставщика (подрядчика, исполнителя) - 01.10.2024.</w:t>
      </w:r>
    </w:p>
    <w:p>
      <w:pPr>
        <w:pStyle w:val="Style10"/>
        <w:keepNext w:val="0"/>
        <w:keepLines w:val="0"/>
        <w:widowControl w:val="0"/>
        <w:shd w:val="clear" w:color="auto" w:fill="auto"/>
        <w:bidi w:val="0"/>
        <w:spacing w:before="0" w:after="280" w:line="240" w:lineRule="auto"/>
        <w:ind w:left="0" w:right="0" w:firstLine="72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978" w:right="532" w:bottom="1383" w:left="1106" w:header="0" w:footer="3" w:gutter="0"/>
          <w:cols w:space="720"/>
          <w:noEndnote/>
          <w:rtlGutter w:val="0"/>
          <w:docGrid w:linePitch="360"/>
        </w:sectPr>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15 части 1 статьи 42 Закона о контрактной системе предусмотрено, что извещение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pPr>
        <w:pStyle w:val="Style10"/>
        <w:keepNext w:val="0"/>
        <w:keepLines w:val="0"/>
        <w:widowControl w:val="0"/>
        <w:shd w:val="clear" w:color="auto" w:fill="auto"/>
        <w:bidi w:val="0"/>
        <w:spacing w:before="0" w:after="0" w:line="271" w:lineRule="auto"/>
        <w:ind w:left="0" w:right="0" w:firstLine="720"/>
        <w:jc w:val="both"/>
        <w:rPr>
          <w:sz w:val="24"/>
          <w:szCs w:val="24"/>
        </w:rPr>
        <w:sectPr>
          <w:footnotePr>
            <w:pos w:val="pageBottom"/>
            <w:numFmt w:val="decimal"/>
            <w:numRestart w:val="continuous"/>
          </w:footnotePr>
          <w:pgSz w:w="11900" w:h="16840"/>
          <w:pgMar w:top="1662" w:right="546" w:bottom="803"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w:t>
      </w:r>
      <w:r>
        <w:rPr>
          <w:color w:val="000000"/>
          <w:spacing w:val="0"/>
          <w:w w:val="100"/>
          <w:position w:val="0"/>
          <w:sz w:val="24"/>
          <w:szCs w:val="24"/>
          <w:shd w:val="clear" w:color="auto" w:fill="auto"/>
          <w:lang w:val="ru-RU" w:eastAsia="ru-RU" w:bidi="ru-RU"/>
        </w:rPr>
        <w:t>2024-3287</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Закупки объектом закупки является поставка светильника операционного.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содержания жалобы следует, что под описание объекта Закупки подходит медицинского оборудование 11укес1 9700 от производителя Маикау.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на рассмотрении жалобы по существу также даны пояснения, что в числе прочего к поставке возможно медицинское оборудование Нукес! 9700 от производителя Маикау.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заказчиком также даны пояснения, что к поставке требуется медицинское оборудование соответствующее коду 129370 (Система для освещения операционной) по номенклатурной классификации медицинских изделий по видам (далее - НКМИ).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Наряду с изложенным Комиссией Управления отмечено, что согласно реестру медицинских изделий, размещенного на сайте Росздравнадзор, медицинское оборудование Нукес! 9700 от производителя Мшскау соответствует коду 129370 по НКМИ.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перечне, утвержденном Постановление №878, отсутствует позиция, соответствующая медицинского изделию по коду129370 НКМИ.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согласно извещению Закупки, поставляемое оборудование соответствует позиции 32.50.50.190-00002660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согласно данной позиции КТРУ при осуществлении закупки настоящего медицинского оборудования указание дополнительных характеристик не запрещено.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из положений Постановления №878 следует, что в случае поставки товара из перечня, утвержденного постановлением №878, указание дополнительных характеристик запрещено, даже если у заказчика имеется обоснование необходимости их установления.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совокупности вышеуказанного следует вывод, что при поставке оборудования по объекту Закупки установление ограничений согласно Постановлению №878 не требуется.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Заказчик правомерно не установил ограничения при размещении извещения Закупки.</w:t>
      </w:r>
    </w:p>
    <w:p>
      <w:pPr>
        <w:pStyle w:val="Style10"/>
        <w:keepNext w:val="0"/>
        <w:keepLines w:val="0"/>
        <w:widowControl w:val="0"/>
        <w:shd w:val="clear" w:color="auto" w:fill="auto"/>
        <w:bidi w:val="0"/>
        <w:spacing w:before="0" w:after="0" w:line="257" w:lineRule="auto"/>
        <w:ind w:left="0" w:right="0" w:firstLine="720"/>
        <w:jc w:val="both"/>
        <w:rPr>
          <w:sz w:val="26"/>
          <w:szCs w:val="26"/>
        </w:rPr>
      </w:pPr>
      <w:r>
        <w:rPr>
          <w:color w:val="000000"/>
          <w:spacing w:val="0"/>
          <w:w w:val="100"/>
          <w:position w:val="0"/>
          <w:sz w:val="26"/>
          <w:szCs w:val="26"/>
          <w:shd w:val="clear" w:color="auto" w:fill="auto"/>
          <w:lang w:val="ru-RU" w:eastAsia="ru-RU" w:bidi="ru-RU"/>
        </w:rPr>
        <w:t>Также на рассмотрении жалобы по существу представителем Заявителем не даны пояснения каким образом при размещении настоящей закупки могут быть ущемлены его права и законные интересы.</w:t>
      </w:r>
    </w:p>
    <w:p>
      <w:pPr>
        <w:pStyle w:val="Style10"/>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pgSz w:w="11900" w:h="16840"/>
          <w:pgMar w:top="1666" w:right="536" w:bottom="1335" w:left="1106" w:header="0" w:footer="3" w:gutter="0"/>
          <w:cols w:space="720"/>
          <w:noEndnote/>
          <w:rtlGutter w:val="0"/>
          <w:docGrid w:linePitch="360"/>
        </w:sectPr>
      </w:pPr>
      <w:r>
        <w:rPr>
          <w:color w:val="000000"/>
          <w:spacing w:val="0"/>
          <w:w w:val="100"/>
          <w:position w:val="0"/>
          <w:shd w:val="clear" w:color="auto" w:fill="auto"/>
          <w:lang w:val="ru-RU" w:eastAsia="ru-RU" w:bidi="ru-RU"/>
        </w:rPr>
        <w:t>На основании изложенного Комиссией Управления довод жалобы о неправомерном не установлении ограничений в соответствии с положениями</w:t>
      </w:r>
    </w:p>
    <w:p>
      <w:pPr>
        <w:pStyle w:val="Style10"/>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Постановления №878 признан необоснованным.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 (часть 1 статьи 9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заказчик при описании объекта закупки должен руководствоваться, в числе прочего, следующими правилами:</w:t>
      </w:r>
    </w:p>
    <w:p>
      <w:pPr>
        <w:pStyle w:val="Style10"/>
        <w:keepNext w:val="0"/>
        <w:keepLines w:val="0"/>
        <w:widowControl w:val="0"/>
        <w:shd w:val="clear" w:color="auto" w:fill="auto"/>
        <w:bidi w:val="0"/>
        <w:spacing w:before="0" w:after="0" w:line="240" w:lineRule="auto"/>
        <w:ind w:left="0" w:right="0" w:firstLine="720"/>
        <w:jc w:val="both"/>
        <w:rPr>
          <w:sz w:val="24"/>
          <w:szCs w:val="24"/>
        </w:rPr>
        <w:sectPr>
          <w:footnotePr>
            <w:pos w:val="pageBottom"/>
            <w:numFmt w:val="decimal"/>
            <w:numRestart w:val="continuous"/>
          </w:footnotePr>
          <w:pgSz w:w="11900" w:h="16840"/>
          <w:pgMar w:top="1666" w:right="541" w:bottom="81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w:t>
      </w:r>
      <w:r>
        <w:rPr>
          <w:color w:val="000000"/>
          <w:spacing w:val="0"/>
          <w:w w:val="100"/>
          <w:position w:val="0"/>
          <w:sz w:val="24"/>
          <w:szCs w:val="24"/>
          <w:shd w:val="clear" w:color="auto" w:fill="auto"/>
          <w:lang w:val="ru-RU" w:eastAsia="ru-RU" w:bidi="ru-RU"/>
        </w:rPr>
        <w:t>2024-3287</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второму доводу жалобы описание объекта Закупки составлено под характеристики конкретного производителя^ именно под модель Ну^е^ 9700 от производителя Мтдгау.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подтверждение указанной позиции Заявителем не представлен сравнительный анализ по характеристикам оборудований других производителей.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Заказчиком на рассмотрении жалобы по существу представлен сравнительный анализ, из которого следует, что описание объекта Закупки соответствует как минимум медицинских изделиям двух производителей: Ну^е^ 9700 Мтдгау и ^^аеде^ Ро1ап8 50.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рассмотрении жалобы по существу представителем Заявителем не даны пояснения по каким именно характеристикам медицинское оборудование ^^аеде^ Ро1ап8 50 не соответствует описанию объекта Закупки.</w:t>
      </w:r>
    </w:p>
    <w:p>
      <w:pPr>
        <w:pStyle w:val="Style10"/>
        <w:keepNext w:val="0"/>
        <w:keepLines w:val="0"/>
        <w:widowControl w:val="0"/>
        <w:shd w:val="clear" w:color="auto" w:fill="auto"/>
        <w:bidi w:val="0"/>
        <w:spacing w:before="0" w:after="260" w:line="259" w:lineRule="auto"/>
        <w:ind w:left="0" w:right="0" w:firstLine="720"/>
        <w:jc w:val="both"/>
        <w:rPr>
          <w:sz w:val="26"/>
          <w:szCs w:val="26"/>
        </w:rPr>
      </w:pPr>
      <w:r>
        <w:rPr>
          <w:color w:val="000000"/>
          <w:spacing w:val="0"/>
          <w:w w:val="100"/>
          <w:position w:val="0"/>
          <w:sz w:val="26"/>
          <w:szCs w:val="26"/>
          <w:shd w:val="clear" w:color="auto" w:fill="auto"/>
          <w:lang w:val="ru-RU" w:eastAsia="ru-RU" w:bidi="ru-RU"/>
        </w:rPr>
        <w:t>На основании изложенного Комиссией Управления второй довод жалобы признан необоснованным.</w:t>
      </w:r>
    </w:p>
    <w:p>
      <w:pPr>
        <w:pStyle w:val="Style10"/>
        <w:keepNext w:val="0"/>
        <w:keepLines w:val="0"/>
        <w:widowControl w:val="0"/>
        <w:shd w:val="clear" w:color="auto" w:fill="auto"/>
        <w:bidi w:val="0"/>
        <w:spacing w:before="0" w:after="26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ходе проведения внеплановой проверки Комиссией Управления нарушений требований Закона о контрактной системе не выявлено.</w:t>
      </w:r>
    </w:p>
    <w:p>
      <w:pPr>
        <w:pStyle w:val="Style10"/>
        <w:keepNext w:val="0"/>
        <w:keepLines w:val="0"/>
        <w:widowControl w:val="0"/>
        <w:shd w:val="clear" w:color="auto" w:fill="auto"/>
        <w:tabs>
          <w:tab w:pos="845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статьями</w:t>
      </w:r>
      <w:r>
        <w:rPr>
          <w:color w:val="000080"/>
          <w:spacing w:val="0"/>
          <w:w w:val="100"/>
          <w:position w:val="0"/>
          <w:sz w:val="26"/>
          <w:szCs w:val="26"/>
          <w:shd w:val="clear" w:color="auto" w:fill="auto"/>
          <w:lang w:val="ru-RU" w:eastAsia="ru-RU" w:bidi="ru-RU"/>
        </w:rPr>
        <w:t xml:space="preserve"> 99</w:t>
      </w:r>
      <w:r>
        <w:rPr>
          <w:color w:val="000000"/>
          <w:spacing w:val="0"/>
          <w:w w:val="100"/>
          <w:position w:val="0"/>
          <w:sz w:val="26"/>
          <w:szCs w:val="26"/>
          <w:shd w:val="clear" w:color="auto" w:fill="auto"/>
          <w:lang w:val="ru-RU" w:eastAsia="ru-RU" w:bidi="ru-RU"/>
        </w:rPr>
        <w:t>,</w:t>
      </w:r>
      <w:r>
        <w:rPr>
          <w:color w:val="000000"/>
          <w:spacing w:val="0"/>
          <w:w w:val="100"/>
          <w:position w:val="0"/>
          <w:sz w:val="26"/>
          <w:szCs w:val="26"/>
          <w:shd w:val="clear" w:color="auto" w:fill="auto"/>
          <w:lang w:val="ru-RU" w:eastAsia="ru-RU" w:bidi="ru-RU"/>
        </w:rPr>
        <w:tab/>
      </w:r>
      <w:r>
        <w:rPr>
          <w:color w:val="000080"/>
          <w:spacing w:val="0"/>
          <w:w w:val="100"/>
          <w:position w:val="0"/>
          <w:sz w:val="26"/>
          <w:szCs w:val="26"/>
          <w:u w:val="single"/>
          <w:shd w:val="clear" w:color="auto" w:fill="auto"/>
          <w:lang w:val="ru-RU" w:eastAsia="ru-RU" w:bidi="ru-RU"/>
        </w:rPr>
        <w:t>106</w:t>
      </w:r>
      <w:r>
        <w:rPr>
          <w:color w:val="000080"/>
          <w:spacing w:val="0"/>
          <w:w w:val="100"/>
          <w:position w:val="0"/>
          <w:sz w:val="26"/>
          <w:szCs w:val="26"/>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Закона</w:t>
      </w:r>
    </w:p>
    <w:p>
      <w:pPr>
        <w:pStyle w:val="Style10"/>
        <w:keepNext w:val="0"/>
        <w:keepLines w:val="0"/>
        <w:widowControl w:val="0"/>
        <w:shd w:val="clear" w:color="auto" w:fill="auto"/>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о контрактной системе,</w:t>
      </w:r>
    </w:p>
    <w:p>
      <w:pPr>
        <w:pStyle w:val="Style10"/>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РЕШИЛА:</w:t>
      </w:r>
    </w:p>
    <w:p>
      <w:pPr>
        <w:pStyle w:val="Style10"/>
        <w:keepNext w:val="0"/>
        <w:keepLines w:val="0"/>
        <w:widowControl w:val="0"/>
        <w:shd w:val="clear" w:color="auto" w:fill="auto"/>
        <w:bidi w:val="0"/>
        <w:spacing w:before="0" w:after="0" w:line="230" w:lineRule="auto"/>
        <w:ind w:left="0" w:right="0" w:firstLine="720"/>
        <w:jc w:val="both"/>
        <w:rPr>
          <w:sz w:val="26"/>
          <w:szCs w:val="26"/>
        </w:rPr>
      </w:pPr>
      <w:r>
        <w:rPr>
          <w:color w:val="000000"/>
          <w:spacing w:val="0"/>
          <w:w w:val="100"/>
          <w:position w:val="0"/>
          <w:sz w:val="28"/>
          <w:szCs w:val="28"/>
          <w:shd w:val="clear" w:color="auto" w:fill="auto"/>
          <w:lang w:val="ru-RU" w:eastAsia="ru-RU" w:bidi="ru-RU"/>
        </w:rPr>
        <w:t xml:space="preserve">1. </w:t>
      </w:r>
      <w:r>
        <w:rPr>
          <w:color w:val="000000"/>
          <w:spacing w:val="0"/>
          <w:w w:val="100"/>
          <w:position w:val="0"/>
          <w:sz w:val="26"/>
          <w:szCs w:val="26"/>
          <w:shd w:val="clear" w:color="auto" w:fill="auto"/>
          <w:lang w:val="ru-RU" w:eastAsia="ru-RU" w:bidi="ru-RU"/>
        </w:rPr>
        <w:t>Признать жалобу ООО «Люммед» необоснованной.</w:t>
      </w:r>
    </w:p>
    <w:p>
      <w:pPr>
        <w:pStyle w:val="Style10"/>
        <w:keepNext w:val="0"/>
        <w:keepLines w:val="0"/>
        <w:widowControl w:val="0"/>
        <w:shd w:val="clear" w:color="auto" w:fill="auto"/>
        <w:bidi w:val="0"/>
        <w:spacing w:before="0" w:after="260" w:line="240" w:lineRule="auto"/>
        <w:ind w:left="0" w:right="0" w:firstLine="720"/>
        <w:jc w:val="both"/>
        <w:rPr>
          <w:sz w:val="26"/>
          <w:szCs w:val="26"/>
        </w:rPr>
      </w:pPr>
      <w:r>
        <w:rPr>
          <w:color w:val="000000"/>
          <w:spacing w:val="0"/>
          <w:w w:val="100"/>
          <w:position w:val="0"/>
          <w:sz w:val="28"/>
          <w:szCs w:val="28"/>
          <w:shd w:val="clear" w:color="auto" w:fill="auto"/>
          <w:lang w:val="ru-RU" w:eastAsia="ru-RU" w:bidi="ru-RU"/>
        </w:rPr>
        <w:t xml:space="preserve">2. </w:t>
      </w:r>
      <w:r>
        <w:rPr>
          <w:color w:val="000000"/>
          <w:spacing w:val="0"/>
          <w:w w:val="100"/>
          <w:position w:val="0"/>
          <w:sz w:val="26"/>
          <w:szCs w:val="26"/>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0"/>
        <w:keepNext w:val="0"/>
        <w:keepLines w:val="0"/>
        <w:widowControl w:val="0"/>
        <w:shd w:val="clear" w:color="auto" w:fill="auto"/>
        <w:tabs>
          <w:tab w:pos="7776" w:val="left"/>
        </w:tabs>
        <w:bidi w:val="0"/>
        <w:spacing w:before="0" w:after="560" w:line="259"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w:t>
        <w:tab/>
        <w:t>Р.В. Евлоев</w:t>
      </w:r>
    </w:p>
    <w:p>
      <w:pPr>
        <w:pStyle w:val="Style10"/>
        <w:keepNext w:val="0"/>
        <w:keepLines w:val="0"/>
        <w:widowControl w:val="0"/>
        <w:shd w:val="clear" w:color="auto" w:fill="auto"/>
        <w:tabs>
          <w:tab w:pos="7776" w:val="left"/>
        </w:tabs>
        <w:bidi w:val="0"/>
        <w:spacing w:before="0" w:after="560" w:line="259"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tab/>
        <w:t>А.А. Аушев</w:t>
      </w:r>
    </w:p>
    <w:p>
      <w:pPr>
        <w:pStyle w:val="Style10"/>
        <w:keepNext w:val="0"/>
        <w:keepLines w:val="0"/>
        <w:widowControl w:val="0"/>
        <w:shd w:val="clear" w:color="auto" w:fill="auto"/>
        <w:bidi w:val="0"/>
        <w:spacing w:before="0" w:after="560" w:line="259" w:lineRule="auto"/>
        <w:ind w:left="0" w:right="740" w:firstLine="0"/>
        <w:jc w:val="right"/>
        <w:rPr>
          <w:sz w:val="26"/>
          <w:szCs w:val="26"/>
        </w:rPr>
      </w:pPr>
      <w:r>
        <w:rPr>
          <w:color w:val="000000"/>
          <w:spacing w:val="0"/>
          <w:w w:val="100"/>
          <w:position w:val="0"/>
          <w:sz w:val="26"/>
          <w:szCs w:val="26"/>
          <w:shd w:val="clear" w:color="auto" w:fill="auto"/>
          <w:lang w:val="ru-RU" w:eastAsia="ru-RU" w:bidi="ru-RU"/>
        </w:rPr>
        <w:t>А.Б. Торшкоев</w:t>
      </w:r>
    </w:p>
    <w:p>
      <w:pPr>
        <w:pStyle w:val="Style20"/>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footnotePr>
        <w:pos w:val="pageBottom"/>
        <w:numFmt w:val="decimal"/>
        <w:numRestart w:val="continuous"/>
      </w:footnotePr>
      <w:pgSz w:w="11900" w:h="16840"/>
      <w:pgMar w:top="1666" w:right="536" w:bottom="131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wps:txbx>
                    <wps:bodyPr wrap="none" lIns="0" tIns="0" rIns="0" bIns="0">
                      <a:spAutoFit/>
                    </wps:bodyPr>
                  </wps:wsp>
                </a:graphicData>
              </a:graphic>
            </wp:anchor>
          </w:drawing>
        </mc:Choice>
        <mc:Fallback>
          <w:pict>
            <v:shape id="_x0000_s1035"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723900</wp:posOffset>
              </wp:positionH>
              <wp:positionV relativeFrom="page">
                <wp:posOffset>10016490</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wps:txbx>
                    <wps:bodyPr wrap="none" lIns="0" tIns="0" rIns="0" bIns="0">
                      <a:spAutoFit/>
                    </wps:bodyPr>
                  </wps:wsp>
                </a:graphicData>
              </a:graphic>
            </wp:anchor>
          </w:drawing>
        </mc:Choice>
        <mc:Fallback>
          <w:pict>
            <v:shape id="_x0000_s1045" type="#_x0000_t202" style="position:absolute;margin-left:57.pt;margin-top:788.70000000000005pt;width:51.100000000000001pt;height:7.9000000000000004pt;z-index:-188744054;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2024-3287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3930015</wp:posOffset>
              </wp:positionH>
              <wp:positionV relativeFrom="page">
                <wp:posOffset>759460</wp:posOffset>
              </wp:positionV>
              <wp:extent cx="54610" cy="106680"/>
              <wp:wrapNone/>
              <wp:docPr id="15" name="Shape 15"/>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44999999999999pt;margin-top:59.800000000000004pt;width:4.2999999999999998pt;height:8.4000000000000004pt;z-index:-1887440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3930015</wp:posOffset>
              </wp:positionH>
              <wp:positionV relativeFrom="page">
                <wp:posOffset>759460</wp:posOffset>
              </wp:positionV>
              <wp:extent cx="64135" cy="106680"/>
              <wp:wrapNone/>
              <wp:docPr id="17" name="Shape 17"/>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59.800000000000004pt;width:5.0499999999999998pt;height:8.4000000000000004pt;z-index:-188744056;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Основной текст (2)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6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Основной текст (2)"/>
    <w:basedOn w:val="Normal"/>
    <w:link w:val="CharStyle21"/>
    <w:pPr>
      <w:widowControl w:val="0"/>
      <w:shd w:val="clear" w:color="auto" w:fill="auto"/>
      <w:spacing w:after="420"/>
      <w:ind w:firstLine="7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header" Target="header1.xml"/><Relationship Id="rId14" Type="http://schemas.openxmlformats.org/officeDocument/2006/relationships/footer" Target="footer3.xml"/><Relationship Id="rId15" Type="http://schemas.openxmlformats.org/officeDocument/2006/relationships/header" Target="header2.xml"/><Relationship Id="rId16" Type="http://schemas.openxmlformats.org/officeDocument/2006/relationships/footer" Target="footer4.xml"/></Relationships>
</file>