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7"/>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 xml:space="preserve">е-тай: </w:t>
      </w:r>
      <w:r>
        <w:rPr>
          <w:smallCaps/>
          <w:spacing w:val="0"/>
          <w:w w:val="100"/>
          <w:position w:val="0"/>
          <w:shd w:val="clear" w:color="auto" w:fill="auto"/>
          <w:lang w:val="ru-RU" w:eastAsia="ru-RU" w:bidi="ru-RU"/>
        </w:rPr>
        <w:t>1о26@&amp;8.§оу.гп</w:t>
      </w:r>
    </w:p>
    <w:p>
      <w:pPr>
        <w:pStyle w:val="Style13"/>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8.10.2024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НП/12869/</w:t>
      </w:r>
      <w:r>
        <w:rPr>
          <w:color w:val="000000"/>
          <w:spacing w:val="0"/>
          <w:w w:val="100"/>
          <w:position w:val="0"/>
          <w:u w:val="none"/>
          <w:shd w:val="clear" w:color="auto" w:fill="auto"/>
          <w:lang w:val="ru-RU" w:eastAsia="ru-RU" w:bidi="ru-RU"/>
        </w:rPr>
        <w:t>24</w:t>
      </w:r>
      <w:bookmarkEnd w:id="0"/>
    </w:p>
    <w:p>
      <w:pPr>
        <w:pStyle w:val="Style10"/>
        <w:keepNext w:val="0"/>
        <w:keepLines w:val="0"/>
        <w:widowControl w:val="0"/>
        <w:shd w:val="clear" w:color="auto" w:fill="auto"/>
        <w:bidi w:val="0"/>
        <w:spacing w:before="0" w:after="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7"/>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ООО МСК Ивест ооо.т§Ипуе81@тай.ги</w:t>
      </w:r>
    </w:p>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ГБУЗ СК "Степновская РБ" 357930, Ставропольский край, Степновский р-н, с Степное, ул.</w:t>
      </w:r>
    </w:p>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Додонова, д.22 к.а</w:t>
      </w:r>
    </w:p>
    <w:p>
      <w:pPr>
        <w:pStyle w:val="Style17"/>
        <w:keepNext w:val="0"/>
        <w:keepLines w:val="0"/>
        <w:widowControl w:val="0"/>
        <w:shd w:val="clear" w:color="auto" w:fill="auto"/>
        <w:bidi w:val="0"/>
        <w:spacing w:before="0" w:after="0" w:line="240" w:lineRule="auto"/>
        <w:ind w:left="0" w:right="0" w:firstLine="0"/>
        <w:jc w:val="left"/>
        <w:rPr>
          <w:sz w:val="28"/>
          <w:szCs w:val="28"/>
        </w:rPr>
        <w:sectPr>
          <w:footerReference w:type="default" r:id="rId5"/>
          <w:footerReference w:type="first" r:id="rId6"/>
          <w:footnotePr>
            <w:pos w:val="pageBottom"/>
            <w:numFmt w:val="decimal"/>
            <w:numRestart w:val="continuous"/>
          </w:footnotePr>
          <w:pgSz w:w="11900" w:h="16840"/>
          <w:pgMar w:top="63" w:right="1631" w:bottom="1231" w:left="1140" w:header="0" w:footer="3" w:gutter="0"/>
          <w:pgNumType w:start="1"/>
          <w:cols w:num="2" w:space="720" w:equalWidth="0">
            <w:col w:w="4368" w:space="898"/>
            <w:col w:w="3864"/>
          </w:cols>
          <w:noEndnote/>
          <w:titlePg/>
          <w:rtlGutter w:val="0"/>
          <w:docGrid w:linePitch="360"/>
        </w:sectPr>
      </w:pPr>
      <w:r>
        <w:rPr>
          <w:color w:val="000000"/>
          <w:spacing w:val="0"/>
          <w:w w:val="100"/>
          <w:position w:val="0"/>
          <w:sz w:val="28"/>
          <w:szCs w:val="28"/>
          <w:shd w:val="clear" w:color="auto" w:fill="auto"/>
          <w:lang w:val="ru-RU" w:eastAsia="ru-RU" w:bidi="ru-RU"/>
        </w:rPr>
        <w:t>Ъо1тса2015@Ък.ги</w:t>
      </w:r>
    </w:p>
    <w:p>
      <w:pPr>
        <w:widowControl w:val="0"/>
        <w:spacing w:line="159" w:lineRule="exact"/>
        <w:rPr>
          <w:sz w:val="13"/>
          <w:szCs w:val="13"/>
        </w:rPr>
      </w:pPr>
    </w:p>
    <w:p>
      <w:pPr>
        <w:widowControl w:val="0"/>
        <w:spacing w:line="1" w:lineRule="exact"/>
        <w:sectPr>
          <w:footnotePr>
            <w:pos w:val="pageBottom"/>
            <w:numFmt w:val="decimal"/>
            <w:numRestart w:val="continuous"/>
          </w:footnotePr>
          <w:type w:val="continuous"/>
          <w:pgSz w:w="11900" w:h="16840"/>
          <w:pgMar w:top="113" w:right="0" w:bottom="1181" w:left="0" w:header="0" w:footer="3" w:gutter="0"/>
          <w:cols w:space="720"/>
          <w:noEndnote/>
          <w:rtlGutter w:val="0"/>
          <w:docGrid w:linePitch="360"/>
        </w:sectPr>
      </w:pPr>
    </w:p>
    <w:p>
      <w:pPr>
        <w:pStyle w:val="Style23"/>
        <w:keepNext w:val="0"/>
        <w:keepLines w:val="0"/>
        <w:widowControl w:val="0"/>
        <w:shd w:val="clear" w:color="auto" w:fill="auto"/>
        <w:bidi w:val="0"/>
        <w:spacing w:before="0" w:after="66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Решение 2362</w:t>
      </w:r>
    </w:p>
    <w:p>
      <w:pPr>
        <w:pStyle w:val="Style17"/>
        <w:keepNext w:val="0"/>
        <w:keepLines w:val="0"/>
        <w:widowControl w:val="0"/>
        <w:shd w:val="clear" w:color="auto" w:fill="auto"/>
        <w:tabs>
          <w:tab w:pos="7934" w:val="left"/>
        </w:tabs>
        <w:bidi w:val="0"/>
        <w:spacing w:before="0" w:after="260" w:line="240" w:lineRule="auto"/>
        <w:ind w:left="0" w:right="0" w:firstLine="0"/>
        <w:jc w:val="center"/>
      </w:pPr>
      <w:r>
        <w:rPr>
          <w:b/>
          <w:bCs/>
          <w:color w:val="000000"/>
          <w:spacing w:val="0"/>
          <w:w w:val="100"/>
          <w:position w:val="0"/>
          <w:shd w:val="clear" w:color="auto" w:fill="auto"/>
          <w:lang w:val="ru-RU" w:eastAsia="ru-RU" w:bidi="ru-RU"/>
        </w:rPr>
        <w:t>Р Е Ш Е Н И Е</w:t>
        <w:br/>
      </w:r>
      <w:r>
        <w:rPr>
          <w:color w:val="000000"/>
          <w:spacing w:val="0"/>
          <w:w w:val="100"/>
          <w:position w:val="0"/>
          <w:shd w:val="clear" w:color="auto" w:fill="auto"/>
          <w:lang w:val="ru-RU" w:eastAsia="ru-RU" w:bidi="ru-RU"/>
        </w:rPr>
        <w:t>по делу № 026/06/106-2362/2024</w:t>
        <w:br/>
        <w:t>о нарушении законодательства о закупках</w:t>
        <w:br/>
        <w:t>30.09.2024 года</w:t>
        <w:tab/>
        <w:t>г. Ставрополь</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Ставропольскому краю по контролю в сфере закупок (далее - Комиссия) в составе:</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Председателя Комиссии, начальника отдела контроля закупок Управления Федеральной антимонопольной службы по Ставропольскому краю Пызиной Н.Г.,</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Членов комиссии:</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ведущего специалиста-эксперта отдела контроля закупок Управления Федеральной антимонопольной службы по Ставропольскому краю Карпель Б.Ш.</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специалиста-эксперта отдела контроля закупок Управления Федеральной антимонопольной службы по Ставропольскому краю Калиниченко В.Р.</w:t>
      </w:r>
    </w:p>
    <w:p>
      <w:pPr>
        <w:pStyle w:val="Style17"/>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В отсутствии представителей уведомленных надлежащим образом о времени и месте рассмотрения жалобы.</w:t>
      </w:r>
    </w:p>
    <w:p>
      <w:pPr>
        <w:pStyle w:val="Style17"/>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 С Т А Н О В И Л А</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Ставропольское УФАС России поступила жалоба ООО «МСК Ивест» на действия заказчика — ГБУЗ СК "Степновская районная больница", по факту осуществления закупки путем проведения открытого аукциона в электронной форме № 0321300012524000093 «Приобретение основных средств для осуществления основных видов деятельности, предусмотренных учредительными документами учреждения (поставка мебели и оборудования) ».</w:t>
      </w:r>
    </w:p>
    <w:p>
      <w:pPr>
        <w:pStyle w:val="Style17"/>
        <w:keepNext w:val="0"/>
        <w:keepLines w:val="0"/>
        <w:widowControl w:val="0"/>
        <w:shd w:val="clear" w:color="auto" w:fill="auto"/>
        <w:bidi w:val="0"/>
        <w:spacing w:before="0" w:after="260" w:line="240" w:lineRule="auto"/>
        <w:ind w:left="0" w:right="0" w:firstLine="540"/>
        <w:jc w:val="both"/>
      </w:pPr>
      <w:r>
        <w:rPr>
          <w:color w:val="000000"/>
          <w:spacing w:val="0"/>
          <w:w w:val="100"/>
          <w:position w:val="0"/>
          <w:shd w:val="clear" w:color="auto" w:fill="auto"/>
          <w:lang w:val="ru-RU" w:eastAsia="ru-RU" w:bidi="ru-RU"/>
        </w:rPr>
        <w:t>Комиссия, рассмотрев доводы жалобы, проанализировав имеющиеся в деле документы, проведя в соответствии со ст. 99 Закона внеплановую проверку закупки установила:</w:t>
      </w:r>
    </w:p>
    <w:p>
      <w:pPr>
        <w:pStyle w:val="Style27"/>
        <w:keepNext/>
        <w:keepLines/>
        <w:widowControl w:val="0"/>
        <w:shd w:val="clear" w:color="auto" w:fill="auto"/>
        <w:bidi w:val="0"/>
        <w:spacing w:before="0" w:line="240" w:lineRule="auto"/>
        <w:ind w:left="0" w:right="0" w:firstLine="0"/>
        <w:jc w:val="both"/>
      </w:pPr>
      <w:bookmarkStart w:id="2" w:name="bookmark2"/>
      <w:r>
        <w:rPr>
          <w:color w:val="000000"/>
          <w:spacing w:val="0"/>
          <w:w w:val="100"/>
          <w:position w:val="0"/>
          <w:shd w:val="clear" w:color="auto" w:fill="auto"/>
          <w:lang w:val="ru-RU" w:eastAsia="ru-RU" w:bidi="ru-RU"/>
        </w:rPr>
        <w:t>111111111111111111111111</w:t>
      </w:r>
      <w:bookmarkEnd w:id="2"/>
    </w:p>
    <w:p>
      <w:pPr>
        <w:pStyle w:val="Style17"/>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11.09.2024 г. заказчиком в ЕИС было размещено извещение о проведении открытого электронного аукциона №0321300012524000093 «Приобретение основных средств для осуществления основных видов деятельности, предусмотренных учредительными документами учреждения (поставка мебели и оборудования) ».</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НМЦК 2 550 105.59 руб</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 участие в закупке подано 3 заявки, в том числе заявка подателя жалобы.</w:t>
      </w:r>
    </w:p>
    <w:p>
      <w:pPr>
        <w:pStyle w:val="Style17"/>
        <w:keepNext w:val="0"/>
        <w:keepLines w:val="0"/>
        <w:widowControl w:val="0"/>
        <w:shd w:val="clear" w:color="auto" w:fill="auto"/>
        <w:bidi w:val="0"/>
        <w:spacing w:before="0" w:after="60" w:line="240" w:lineRule="auto"/>
        <w:ind w:left="0" w:right="0" w:firstLine="660"/>
        <w:jc w:val="both"/>
      </w:pPr>
      <w:r>
        <w:rPr>
          <w:color w:val="000000"/>
          <w:spacing w:val="0"/>
          <w:w w:val="100"/>
          <w:position w:val="0"/>
          <w:shd w:val="clear" w:color="auto" w:fill="auto"/>
          <w:lang w:val="ru-RU" w:eastAsia="ru-RU" w:bidi="ru-RU"/>
        </w:rPr>
        <w:t>20.09.2024 в ЕИС размещен Протокол подведения итогов определения поставщика (подрядчика, исполнителя) по электронному аукциону № 0321300012524000093 (далее - Протокол), в соответствии с которым заявка ООО «МСК Ивест» с идентификационным номером 3 отклонена.</w:t>
      </w:r>
    </w:p>
    <w:p>
      <w:pPr>
        <w:pStyle w:val="Style17"/>
        <w:keepNext w:val="0"/>
        <w:keepLines w:val="0"/>
        <w:widowControl w:val="0"/>
        <w:shd w:val="clear" w:color="auto" w:fill="auto"/>
        <w:bidi w:val="0"/>
        <w:spacing w:before="0" w:after="60" w:line="240" w:lineRule="auto"/>
        <w:ind w:left="0" w:right="0" w:firstLine="660"/>
        <w:jc w:val="both"/>
      </w:pPr>
      <w:r>
        <w:rPr>
          <w:color w:val="000000"/>
          <w:spacing w:val="0"/>
          <w:w w:val="100"/>
          <w:position w:val="0"/>
          <w:shd w:val="clear" w:color="auto" w:fill="auto"/>
          <w:lang w:val="ru-RU" w:eastAsia="ru-RU" w:bidi="ru-RU"/>
        </w:rPr>
        <w:t>ООО «МСК Ивест» в своей жалобе указывает, что Заказчиком в протоколе не были указаны причины, по которым заявка Общества не соответствует требованиям извещения.</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Рассмотрев письменные позиции сторон, проанализировав представленные в материалы дела документы комиссия установила следующее:</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Согласно Протоколу заявка с идентификационным номером 3 отклонена по следующему основанию:</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 ... п. 1 ч. 12 ст. 48 44-ФЗ - непредставление информации и документов, предусмотренных извещением, несоответствия таких информации и документов ...»</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Из пояснений заказчика следует, что аукционная комиссия отклонила заявку участника, так как в «заявке ООО «МСК Ивест» к поставке предлагается Тумба медицинская ТМ - «МСК»: МД-103.00, которая не содержит нишу и отделение с дверкой, как требуют этого положения извещения».</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В силу ч. 5 ст. 49 Закона о контрактной системе:</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1) члены комиссии по осуществлению закупок:</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В соответствии с пунктом 1 части 12 статьи 48 Закона № 44-ФЗ при рассмотрении вторых частей заявок на участие в закупке соответствующая заявка подлежит отклонению в случаях:</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 xml:space="preserve">Согласно положениям статей 43, 48, 49 Закона № 44-ФЗ действиями комиссии по осуществлению закупок являются действия, направленные на рассмотрение заявок на участие в аукционе на предмет их соответствия требованиям, установленным в извещении </w:t>
      </w:r>
      <w:r>
        <w:rPr>
          <w:color w:val="000000"/>
          <w:spacing w:val="0"/>
          <w:w w:val="100"/>
          <w:position w:val="0"/>
          <w:shd w:val="clear" w:color="auto" w:fill="auto"/>
          <w:lang w:val="ru-RU" w:eastAsia="ru-RU" w:bidi="ru-RU"/>
        </w:rPr>
        <w:t>об осуществлении закупки.</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Исходя из п.2 ч.13 ст.48 Протокол рассмотрения и оценки вторых частей заявок на участие в закупке должен содержать,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 xml:space="preserve">На основании протокола рассмотрения заявок, Комиссия установила, что в размещенном протоколе отсутствует информация с обоснованием решения об отказе в допуске к участию в аукционе, с указанием положений документации об электронном аукционе, которым не соответствует заявка на участие в аукционе. Следовательно, аукционной комиссией нарушены требования </w:t>
      </w:r>
      <w:r>
        <w:rPr>
          <w:color w:val="0000FF"/>
          <w:spacing w:val="0"/>
          <w:w w:val="100"/>
          <w:position w:val="0"/>
          <w:shd w:val="clear" w:color="auto" w:fill="auto"/>
          <w:lang w:val="ru-RU" w:eastAsia="ru-RU" w:bidi="ru-RU"/>
        </w:rPr>
        <w:t xml:space="preserve">части 13 статьи 48 </w:t>
      </w:r>
      <w:r>
        <w:rPr>
          <w:color w:val="000000"/>
          <w:spacing w:val="0"/>
          <w:w w:val="100"/>
          <w:position w:val="0"/>
          <w:shd w:val="clear" w:color="auto" w:fill="auto"/>
          <w:lang w:val="ru-RU" w:eastAsia="ru-RU" w:bidi="ru-RU"/>
        </w:rPr>
        <w:t>Федерального закона о контрактной системе.</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Так же в ходе внеплановой проверки в действиях Заказчика установлены нарушения в части формирования извещения об осуществлении закупки.</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Согласно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Согласно извещения ее предметом в том числе является Мебель для палаты пациента, в состав комплекта которой входит Тумба в разобранном виде.</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В силу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 Постановлением Правительства Российской Федерации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Согласно п.7 Правил использования КТРУ в случае осуществления закупки товара,работы,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7"/>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 xml:space="preserve">В силу ч.2 ст.33 Закона о контрактной системе описание объекта закупки в соответствии с требованиями, указанными в ч. 1 настоящей статьи, должно содержать </w:t>
      </w:r>
      <w:r>
        <w:rPr>
          <w:color w:val="000000"/>
          <w:spacing w:val="0"/>
          <w:w w:val="100"/>
          <w:position w:val="0"/>
          <w:shd w:val="clear" w:color="auto" w:fill="auto"/>
          <w:lang w:val="ru-RU" w:eastAsia="ru-RU" w:bidi="ru-RU"/>
        </w:rPr>
        <w:t>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Изучив материалы дела, Комиссия установила, что Приложение 1 «Описание объекта закупки» содержит требования к позиции тумба в разобранном виде «Тумба медицинская подкатная предназначена для хранения личных вещей в учреждениях разного профиля. Имеет нишу и отделение с дверкой»</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требования об указании данной характеристики объекта закупки в структурированной форме не были применены, а именно в извещении (сформированном посредством ЕИС) не содержится информация о наличии «ниши и отделение с дверкой», что в последующем приводит к невозможности сформировать заявку с указанной характеристикой товара.</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отмечает, что участники при заполнении сведений в структурированной заявке указывают параметры товаров, исходя из значений, которые Заказчик установил в структурированном объекте закупки, исходя из этого у Заказчика не имелось оснований для отказа в допуске заявки ООО «МСК Инвест», по причине не представления сведений по характеристике « наличие ниши и отделение с дверкой» не указанной в структурированной форме извещения.</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Исходя из чего, в действиях Заказчика усматриваются признаки нарушения пункта 1 части 1, части 2 статьи 33 Закона о контрактной системе.</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 же в ходе внеплановой проверки было установлено что, Заказчиком в извещении установлены дополнительные требования к участникам закупочной процедуры в виде:</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1.Единых требований к участникам закупок в соответствии с ч. 1 ст. 31 Закона № 44- ФЗ.</w:t>
      </w:r>
    </w:p>
    <w:p>
      <w:pPr>
        <w:pStyle w:val="Style17"/>
        <w:keepNext w:val="0"/>
        <w:keepLines w:val="0"/>
        <w:widowControl w:val="0"/>
        <w:shd w:val="clear" w:color="auto" w:fill="auto"/>
        <w:bidi w:val="0"/>
        <w:spacing w:before="0" w:after="0" w:line="240" w:lineRule="auto"/>
        <w:ind w:left="0" w:right="0" w:firstLine="540"/>
        <w:jc w:val="both"/>
      </w:pPr>
      <w:r>
        <w:rPr>
          <w:color w:val="000000"/>
          <w:spacing w:val="0"/>
          <w:w w:val="100"/>
          <w:position w:val="0"/>
          <w:shd w:val="clear" w:color="auto" w:fill="auto"/>
          <w:lang w:val="ru-RU" w:eastAsia="ru-RU" w:bidi="ru-RU"/>
        </w:rPr>
        <w:t>2.Требований к участникам закупок в соответствии с ч. 1.1 ст. 31 Закона № 44-ФЗ</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3.Отсутствия в реестре недобросовестных поставщиков (подрядчиков, исполнителей) информации, включенной в такой реестр в связи отказом поставщика (подрядчика, исполнителя) от исполнения контракта по причине введения в отношении заказчика санкций и (или) мер ограничительного характера.</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силу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опыта работы, связанного с предметом контракта, и деловой репутации.</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ч. 3 ст. 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 2 и 2.1 ст. 31 Закона о контрактной системе, устанавливается Правительством Российской Федерации.</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На основании ч. 4 ст. 31 Закона о контрактной системе в случае установления Правительством Российской Федерации в соответствии с ч. 2 ст.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силу ч. 6 ст.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Вместе с этим пп. "б" п. 1 Постановления № 2571 установлено, что в случае если заказчиком не установлено требование, предусмотренное </w:t>
      </w:r>
      <w:r>
        <w:rPr>
          <w:color w:val="0000FF"/>
          <w:spacing w:val="0"/>
          <w:w w:val="100"/>
          <w:position w:val="0"/>
          <w:shd w:val="clear" w:color="auto" w:fill="auto"/>
          <w:lang w:val="ru-RU" w:eastAsia="ru-RU" w:bidi="ru-RU"/>
        </w:rPr>
        <w:t xml:space="preserve">частью 1.1 статьи 31 </w:t>
      </w:r>
      <w:r>
        <w:rPr>
          <w:color w:val="000000"/>
          <w:spacing w:val="0"/>
          <w:w w:val="100"/>
          <w:position w:val="0"/>
          <w:shd w:val="clear" w:color="auto" w:fill="auto"/>
          <w:lang w:val="ru-RU" w:eastAsia="ru-RU" w:bidi="ru-RU"/>
        </w:rPr>
        <w:t xml:space="preserve">Федерального закона "О контрактной системе в сфере закупок товаров, работ, услуг для </w:t>
      </w:r>
      <w:r>
        <w:rPr>
          <w:color w:val="000000"/>
          <w:spacing w:val="0"/>
          <w:w w:val="100"/>
          <w:position w:val="0"/>
          <w:shd w:val="clear" w:color="auto" w:fill="auto"/>
          <w:lang w:val="ru-RU" w:eastAsia="ru-RU" w:bidi="ru-RU"/>
        </w:rPr>
        <w:t xml:space="preserve">обеспечения государственных и муниципальных нужд" (далее - Закон о контрактной системе), заказчик обязан установить требование об отсутствии в предусмотренном </w:t>
      </w:r>
      <w:r>
        <w:rPr>
          <w:color w:val="0000FF"/>
          <w:spacing w:val="0"/>
          <w:w w:val="100"/>
          <w:position w:val="0"/>
          <w:shd w:val="clear" w:color="auto" w:fill="auto"/>
          <w:lang w:val="ru-RU" w:eastAsia="ru-RU" w:bidi="ru-RU"/>
        </w:rPr>
        <w:t xml:space="preserve">Законом </w:t>
      </w:r>
      <w:r>
        <w:rPr>
          <w:color w:val="000000"/>
          <w:spacing w:val="0"/>
          <w:w w:val="100"/>
          <w:position w:val="0"/>
          <w:shd w:val="clear" w:color="auto" w:fill="auto"/>
          <w:lang w:val="ru-RU" w:eastAsia="ru-RU" w:bidi="ru-RU"/>
        </w:rPr>
        <w:t xml:space="preserve">о контрактной системе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w:t>
      </w:r>
      <w:r>
        <w:rPr>
          <w:color w:val="0000FF"/>
          <w:spacing w:val="0"/>
          <w:w w:val="100"/>
          <w:position w:val="0"/>
          <w:shd w:val="clear" w:color="auto" w:fill="auto"/>
          <w:lang w:val="ru-RU" w:eastAsia="ru-RU" w:bidi="ru-RU"/>
        </w:rPr>
        <w:t xml:space="preserve">подпунктом "в" пункта 1 части 1 статьи 43 </w:t>
      </w:r>
      <w:r>
        <w:rPr>
          <w:color w:val="000000"/>
          <w:spacing w:val="0"/>
          <w:w w:val="100"/>
          <w:position w:val="0"/>
          <w:shd w:val="clear" w:color="auto" w:fill="auto"/>
          <w:lang w:val="ru-RU" w:eastAsia="ru-RU" w:bidi="ru-RU"/>
        </w:rPr>
        <w:t>Закона о контрактной системе,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введения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ч. 5 ст. 31 Закона о контрактной системе информация об установленных требованиях в соответствии с частями 1, 1.1, 2 и 2.1 ст. 31 Закона контрактной системе указывается заказчиком в извещении об осуществлении закупки.</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Учитывая изложенное, Комиссия приходит к выводу, что действия Заказчика, установившего в Извещении одновременно требования к участникам закупки об отсутствии информации об участнике закупки в реестре недобросовестных поставщиков (подрядчиков, исполнителей) в соответствии с</w:t>
      </w:r>
      <w:r>
        <w:fldChar w:fldCharType="begin"/>
      </w:r>
      <w:r>
        <w:rPr/>
        <w:instrText> HYPERLINK "https://normativ.kontur.ru/document?moduleId=1&amp;documentId=436010%23l7" </w:instrText>
      </w:r>
      <w:r>
        <w:fldChar w:fldCharType="separate"/>
      </w:r>
      <w:r>
        <w:rPr>
          <w:color w:val="000000"/>
          <w:spacing w:val="0"/>
          <w:w w:val="100"/>
          <w:position w:val="0"/>
          <w:shd w:val="clear" w:color="auto" w:fill="auto"/>
          <w:lang w:val="ru-RU" w:eastAsia="ru-RU" w:bidi="ru-RU"/>
        </w:rPr>
        <w:t xml:space="preserve"> </w:t>
      </w:r>
      <w:r>
        <w:rPr>
          <w:color w:val="228007"/>
          <w:spacing w:val="0"/>
          <w:w w:val="100"/>
          <w:position w:val="0"/>
          <w:shd w:val="clear" w:color="auto" w:fill="auto"/>
          <w:lang w:val="ru-RU" w:eastAsia="ru-RU" w:bidi="ru-RU"/>
        </w:rPr>
        <w:t xml:space="preserve">подпунктом "б" </w:t>
      </w:r>
      <w:r>
        <w:fldChar w:fldCharType="end"/>
      </w:r>
      <w:r>
        <w:rPr>
          <w:color w:val="000000"/>
          <w:spacing w:val="0"/>
          <w:w w:val="100"/>
          <w:position w:val="0"/>
          <w:shd w:val="clear" w:color="auto" w:fill="auto"/>
          <w:lang w:val="ru-RU" w:eastAsia="ru-RU" w:bidi="ru-RU"/>
        </w:rPr>
        <w:t xml:space="preserve">пункта 1 Постановления № 2571 и в соответствии с положением </w:t>
      </w:r>
      <w:r>
        <w:fldChar w:fldCharType="begin"/>
      </w:r>
      <w:r>
        <w:rPr/>
        <w:instrText> HYPERLINK "https://normativ.kontur.ru/document?moduleId=1&amp;documentId=439758%23l8085" </w:instrText>
      </w:r>
      <w:r>
        <w:fldChar w:fldCharType="separate"/>
      </w:r>
      <w:r>
        <w:rPr>
          <w:color w:val="3072C4"/>
          <w:spacing w:val="0"/>
          <w:w w:val="100"/>
          <w:position w:val="0"/>
          <w:shd w:val="clear" w:color="auto" w:fill="auto"/>
          <w:lang w:val="ru-RU" w:eastAsia="ru-RU" w:bidi="ru-RU"/>
        </w:rPr>
        <w:t xml:space="preserve">части 1.1 </w:t>
      </w:r>
      <w:r>
        <w:fldChar w:fldCharType="end"/>
      </w:r>
      <w:r>
        <w:rPr>
          <w:color w:val="000000"/>
          <w:spacing w:val="0"/>
          <w:w w:val="100"/>
          <w:position w:val="0"/>
          <w:shd w:val="clear" w:color="auto" w:fill="auto"/>
          <w:lang w:val="ru-RU" w:eastAsia="ru-RU" w:bidi="ru-RU"/>
        </w:rPr>
        <w:t xml:space="preserve">статьи 31 Закона о контрактной системе, нарушают </w:t>
      </w:r>
      <w:r>
        <w:fldChar w:fldCharType="begin"/>
      </w:r>
      <w:r>
        <w:rPr/>
        <w:instrText> HYPERLINK "https://normativ.kontur.ru/document?moduleId=1&amp;documentId=439758%23l8710" </w:instrText>
      </w:r>
      <w:r>
        <w:fldChar w:fldCharType="separate"/>
      </w:r>
      <w:r>
        <w:rPr>
          <w:color w:val="3072C4"/>
          <w:spacing w:val="0"/>
          <w:w w:val="100"/>
          <w:position w:val="0"/>
          <w:shd w:val="clear" w:color="auto" w:fill="auto"/>
          <w:lang w:val="ru-RU" w:eastAsia="ru-RU" w:bidi="ru-RU"/>
        </w:rPr>
        <w:t xml:space="preserve">часть 6 </w:t>
      </w:r>
      <w:r>
        <w:fldChar w:fldCharType="end"/>
      </w:r>
      <w:r>
        <w:rPr>
          <w:color w:val="000000"/>
          <w:spacing w:val="0"/>
          <w:w w:val="100"/>
          <w:position w:val="0"/>
          <w:shd w:val="clear" w:color="auto" w:fill="auto"/>
          <w:lang w:val="ru-RU" w:eastAsia="ru-RU" w:bidi="ru-RU"/>
        </w:rPr>
        <w:t>статьи 31 Закона о контрактной системе.</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Вместе с тем в ходе внеплановой проверки со стороны Заказчика были выявлены нарушения ст.14 Закона №44-ФЗ, а так же Постановление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п. 15 ч. 1 ст. 42 Закона № 44-ФЗ -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7"/>
        <w:keepNext w:val="0"/>
        <w:keepLines w:val="0"/>
        <w:widowControl w:val="0"/>
        <w:numPr>
          <w:ilvl w:val="0"/>
          <w:numId w:val="1"/>
        </w:numPr>
        <w:shd w:val="clear" w:color="auto" w:fill="auto"/>
        <w:tabs>
          <w:tab w:pos="835"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Частью 3 ст. 14 Закона № 44-ФЗ установлено,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w:t>
      </w:r>
      <w:r>
        <w:rPr>
          <w:color w:val="000000"/>
          <w:spacing w:val="0"/>
          <w:w w:val="100"/>
          <w:position w:val="0"/>
          <w:shd w:val="clear" w:color="auto" w:fill="auto"/>
          <w:lang w:val="ru-RU" w:eastAsia="ru-RU" w:bidi="ru-RU"/>
        </w:rPr>
        <w:t>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п.5 Постановления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ПП №617) не могут быть предметом одного контракта (одного лота) промышленные товары, включенные в перечень, и промышленные товары, не включенные в него, за исключением товаров, указанных в пункте 6 настоящего постановления.</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Приложением к ПП 617 определен Перечень, который содержит позицию - мебель медицинская, включая хирургическую, стоматологическую или ветеринарную, и ее части, ОКПД2 - 32.50.30.110.</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Вместе с тем Заказчиком в нарушение статьи 14 Закона о контрактной системе ограничения и условия допуска товаров, происходящих из иностранных государств, в соответствии с требованиями Постановления 617, не установлены.</w:t>
      </w:r>
    </w:p>
    <w:p>
      <w:pPr>
        <w:pStyle w:val="Style17"/>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Между тем, извещение содержит товары с вышеуказанным кодом, например:</w:t>
      </w:r>
    </w:p>
    <w:p>
      <w:pPr>
        <w:pStyle w:val="Style17"/>
        <w:keepNext w:val="0"/>
        <w:keepLines w:val="0"/>
        <w:widowControl w:val="0"/>
        <w:numPr>
          <w:ilvl w:val="0"/>
          <w:numId w:val="1"/>
        </w:numPr>
        <w:shd w:val="clear" w:color="auto" w:fill="auto"/>
        <w:tabs>
          <w:tab w:pos="1395" w:val="left"/>
        </w:tabs>
        <w:bidi w:val="0"/>
        <w:spacing w:before="0" w:after="0" w:line="240" w:lineRule="auto"/>
        <w:ind w:left="0" w:right="0" w:firstLine="560"/>
        <w:jc w:val="both"/>
      </w:pPr>
      <w:r>
        <w:rPr>
          <w:color w:val="000000"/>
          <w:spacing w:val="0"/>
          <w:w w:val="100"/>
          <w:position w:val="0"/>
          <w:shd w:val="clear" w:color="auto" w:fill="auto"/>
          <w:lang w:val="ru-RU" w:eastAsia="ru-RU" w:bidi="ru-RU"/>
        </w:rPr>
        <w:t>Стол для хирургических инструментов;</w:t>
      </w:r>
    </w:p>
    <w:p>
      <w:pPr>
        <w:pStyle w:val="Style17"/>
        <w:keepNext w:val="0"/>
        <w:keepLines w:val="0"/>
        <w:widowControl w:val="0"/>
        <w:numPr>
          <w:ilvl w:val="0"/>
          <w:numId w:val="1"/>
        </w:numPr>
        <w:shd w:val="clear" w:color="auto" w:fill="auto"/>
        <w:tabs>
          <w:tab w:pos="1395" w:val="left"/>
        </w:tabs>
        <w:bidi w:val="0"/>
        <w:spacing w:before="0" w:after="0" w:line="240" w:lineRule="auto"/>
        <w:ind w:left="0" w:right="0" w:firstLine="560"/>
        <w:jc w:val="both"/>
      </w:pPr>
      <w:r>
        <w:rPr>
          <w:color w:val="000000"/>
          <w:spacing w:val="0"/>
          <w:w w:val="100"/>
          <w:position w:val="0"/>
          <w:shd w:val="clear" w:color="auto" w:fill="auto"/>
          <w:lang w:val="ru-RU" w:eastAsia="ru-RU" w:bidi="ru-RU"/>
        </w:rPr>
        <w:t>Стол для осмотра/терапевтических процедур, механический;</w:t>
      </w:r>
    </w:p>
    <w:p>
      <w:pPr>
        <w:pStyle w:val="Style17"/>
        <w:keepNext w:val="0"/>
        <w:keepLines w:val="0"/>
        <w:widowControl w:val="0"/>
        <w:numPr>
          <w:ilvl w:val="0"/>
          <w:numId w:val="1"/>
        </w:numPr>
        <w:shd w:val="clear" w:color="auto" w:fill="auto"/>
        <w:tabs>
          <w:tab w:pos="1395"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Кровать больничная и т.д.</w:t>
      </w:r>
    </w:p>
    <w:p>
      <w:pPr>
        <w:pStyle w:val="Style17"/>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При этом к закупке требуется ряд товаров не входящий в Перечень согласно постановлению Правительства Российской Федерации от 30 апреля 2020 г. № 617.</w:t>
      </w:r>
    </w:p>
    <w:p>
      <w:pPr>
        <w:pStyle w:val="Style17"/>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Учитывая изложенное, Комиссия приходит к выводу, что действия Заказчика, объединившего в один лот товары, включенные и не включенные в перечень товаров, предусмотренный Постановлением ^ 617, нарушают требования действующего законодательства.</w:t>
      </w:r>
    </w:p>
    <w:p>
      <w:pPr>
        <w:pStyle w:val="Style17"/>
        <w:keepNext w:val="0"/>
        <w:keepLines w:val="0"/>
        <w:widowControl w:val="0"/>
        <w:shd w:val="clear" w:color="auto" w:fill="auto"/>
        <w:bidi w:val="0"/>
        <w:spacing w:before="0" w:after="260" w:line="240" w:lineRule="auto"/>
        <w:ind w:left="0" w:right="0" w:firstLine="560"/>
        <w:jc w:val="both"/>
      </w:pPr>
      <w:r>
        <w:rPr>
          <w:color w:val="000000"/>
          <w:spacing w:val="0"/>
          <w:w w:val="100"/>
          <w:position w:val="0"/>
          <w:shd w:val="clear" w:color="auto" w:fill="auto"/>
          <w:lang w:val="ru-RU" w:eastAsia="ru-RU" w:bidi="ru-RU"/>
        </w:rPr>
        <w:t>Комиссия, руководствуясь ст. 99, ст. 106 Федерального закона от 05.04.2013 года № 44- ФЗ «О контрактной системе в сфере закупок товаров, работ, услуг для обеспечения государственных и муниципальных нужд»,</w:t>
      </w:r>
    </w:p>
    <w:p>
      <w:pPr>
        <w:pStyle w:val="Style17"/>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 Е Ш И Л А :</w:t>
      </w:r>
    </w:p>
    <w:p>
      <w:pPr>
        <w:pStyle w:val="Style17"/>
        <w:keepNext w:val="0"/>
        <w:keepLines w:val="0"/>
        <w:widowControl w:val="0"/>
        <w:numPr>
          <w:ilvl w:val="0"/>
          <w:numId w:val="3"/>
        </w:numPr>
        <w:shd w:val="clear" w:color="auto" w:fill="auto"/>
        <w:tabs>
          <w:tab w:pos="1205"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Признать жалобу ООО «МСК Ивест» на действия заказчика — ГБУЗ СК "Степновская районная больница", по факту осуществления закупки путем проведения открытого аукциона в электронной форме № 0321300012524000093 «Приобретение основных средств для осуществления основных видов деятельности, предусмотренных учредительными документами учреждения (поставка мебели и оборудования) » - обоснованной.</w:t>
      </w:r>
    </w:p>
    <w:p>
      <w:pPr>
        <w:pStyle w:val="Style17"/>
        <w:keepNext w:val="0"/>
        <w:keepLines w:val="0"/>
        <w:widowControl w:val="0"/>
        <w:numPr>
          <w:ilvl w:val="0"/>
          <w:numId w:val="3"/>
        </w:numPr>
        <w:shd w:val="clear" w:color="auto" w:fill="auto"/>
        <w:tabs>
          <w:tab w:pos="1205" w:val="left"/>
        </w:tabs>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По результатам проведения в порядке статьи 99 Закона № 44-ФЗ внеплановой проверки признать действия Заказчика - ГБУЗ СК "Степновская районная больница" нарушившими требования части 3 ст. 14 </w:t>
      </w:r>
      <w:r>
        <w:fldChar w:fldCharType="begin"/>
      </w:r>
      <w:r>
        <w:rPr/>
        <w:instrText> HYPERLINK "https://normativ.kontur.ru/document?moduleId=1&amp;documentId=439758%23l8710" </w:instrText>
      </w:r>
      <w:r>
        <w:fldChar w:fldCharType="separate"/>
      </w:r>
      <w:r>
        <w:rPr>
          <w:color w:val="000000"/>
          <w:spacing w:val="0"/>
          <w:w w:val="100"/>
          <w:position w:val="0"/>
          <w:shd w:val="clear" w:color="auto" w:fill="auto"/>
          <w:lang w:val="ru-RU" w:eastAsia="ru-RU" w:bidi="ru-RU"/>
        </w:rPr>
        <w:t xml:space="preserve">часть 6 </w:t>
      </w:r>
      <w:r>
        <w:fldChar w:fldCharType="end"/>
      </w:r>
      <w:r>
        <w:rPr>
          <w:color w:val="000000"/>
          <w:spacing w:val="0"/>
          <w:w w:val="100"/>
          <w:position w:val="0"/>
          <w:shd w:val="clear" w:color="auto" w:fill="auto"/>
          <w:lang w:val="ru-RU" w:eastAsia="ru-RU" w:bidi="ru-RU"/>
        </w:rPr>
        <w:t>статьи 31, п. 1 части 1, части 2 статьи 33, ч. 13 ст. 48, ст.49 Закона №44-ФЗ, Постановления Правительства РФ от 30.04.2020 № 617, в</w:t>
        <w:br w:type="page"/>
      </w:r>
      <w:r>
        <w:rPr>
          <w:color w:val="000000"/>
          <w:spacing w:val="0"/>
          <w:w w:val="100"/>
          <w:position w:val="0"/>
          <w:shd w:val="clear" w:color="auto" w:fill="auto"/>
          <w:lang w:val="ru-RU" w:eastAsia="ru-RU" w:bidi="ru-RU"/>
        </w:rPr>
        <w:t>связи с чем выдать обязательное для исполнения предписание.</w:t>
      </w:r>
    </w:p>
    <w:p>
      <w:pPr>
        <w:pStyle w:val="Style17"/>
        <w:keepNext w:val="0"/>
        <w:keepLines w:val="0"/>
        <w:widowControl w:val="0"/>
        <w:numPr>
          <w:ilvl w:val="0"/>
          <w:numId w:val="5"/>
        </w:numPr>
        <w:shd w:val="clear" w:color="auto" w:fill="auto"/>
        <w:tabs>
          <w:tab w:pos="120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Передать должностному лицу Ставропольского УФАС России материалы данного дела для решения вопроса о возбуждении дела об административном правонарушении.</w:t>
      </w:r>
    </w:p>
    <w:p>
      <w:pPr>
        <w:pStyle w:val="Style17"/>
        <w:keepNext w:val="0"/>
        <w:keepLines w:val="0"/>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13" w:right="533" w:bottom="1181" w:left="1099" w:header="0" w:footer="3" w:gutter="0"/>
          <w:cols w:space="720"/>
          <w:noEndnote/>
          <w:rtlGutter w:val="0"/>
          <w:docGrid w:linePitch="360"/>
        </w:sectPr>
      </w:pPr>
      <w:r>
        <mc:AlternateContent>
          <mc:Choice Requires="wps">
            <w:drawing>
              <wp:anchor distT="88900" distB="359410" distL="0" distR="0" simplePos="0" relativeHeight="125829378" behindDoc="0" locked="0" layoutInCell="1" allowOverlap="1">
                <wp:simplePos x="0" y="0"/>
                <wp:positionH relativeFrom="page">
                  <wp:posOffset>735965</wp:posOffset>
                </wp:positionH>
                <wp:positionV relativeFrom="paragraph">
                  <wp:posOffset>88900</wp:posOffset>
                </wp:positionV>
                <wp:extent cx="1828800" cy="247015"/>
                <wp:wrapTopAndBottom/>
                <wp:docPr id="5" name="Shape 5"/>
                <a:graphic xmlns:a="http://schemas.openxmlformats.org/drawingml/2006/main">
                  <a:graphicData uri="http://schemas.microsoft.com/office/word/2010/wordprocessingShape">
                    <wps:wsp>
                      <wps:cNvSpPr txBox="1"/>
                      <wps:spPr>
                        <a:xfrm>
                          <a:ext cx="1828800" cy="24701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7.950000000000003pt;margin-top:7.pt;width:144.pt;height:19.449999999999999pt;z-index:-125829375;mso-wrap-distance-left:0;mso-wrap-distance-top:7.pt;mso-wrap-distance-right:0;mso-wrap-distance-bottom:28.300000000000001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161925" distB="0" distL="0" distR="1786255" simplePos="0" relativeHeight="125829380" behindDoc="0" locked="0" layoutInCell="1" allowOverlap="1">
            <wp:simplePos x="0" y="0"/>
            <wp:positionH relativeFrom="page">
              <wp:posOffset>2659380</wp:posOffset>
            </wp:positionH>
            <wp:positionV relativeFrom="paragraph">
              <wp:posOffset>161925</wp:posOffset>
            </wp:positionV>
            <wp:extent cx="353695" cy="53657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3116580</wp:posOffset>
                </wp:positionH>
                <wp:positionV relativeFrom="paragraph">
                  <wp:posOffset>561340</wp:posOffset>
                </wp:positionV>
                <wp:extent cx="1286510" cy="103505"/>
                <wp:wrapNone/>
                <wp:docPr id="9" name="Shape 9"/>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45.40000000000001pt;margin-top:44.200000000000003pt;width:101.3pt;height:8.1500000000000004pt;z-index:251657729;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250190</wp:posOffset>
                </wp:positionV>
                <wp:extent cx="1722120" cy="255905"/>
                <wp:wrapNone/>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2.05000000000001pt;margin-top:19.699999999999999pt;width:135.59999999999999pt;height:20.15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9090" distB="136525" distL="0" distR="0" simplePos="0" relativeHeight="125829381" behindDoc="0" locked="0" layoutInCell="1" allowOverlap="1">
                <wp:simplePos x="0" y="0"/>
                <wp:positionH relativeFrom="page">
                  <wp:posOffset>6222365</wp:posOffset>
                </wp:positionH>
                <wp:positionV relativeFrom="paragraph">
                  <wp:posOffset>339090</wp:posOffset>
                </wp:positionV>
                <wp:extent cx="969010" cy="219710"/>
                <wp:wrapTopAndBottom/>
                <wp:docPr id="13" name="Shape 13"/>
                <a:graphic xmlns:a="http://schemas.openxmlformats.org/drawingml/2006/main">
                  <a:graphicData uri="http://schemas.microsoft.com/office/word/2010/wordprocessingShape">
                    <wps:wsp>
                      <wps:cNvSpPr txBox="1"/>
                      <wps:spPr>
                        <a:xfrm>
                          <a:ext cx="969010" cy="21971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Н.Г. Пызина</w:t>
                            </w:r>
                          </w:p>
                        </w:txbxContent>
                      </wps:txbx>
                      <wps:bodyPr wrap="none" lIns="0" tIns="0" rIns="0" bIns="0">
                        <a:noAutoFit/>
                      </wps:bodyPr>
                    </wps:wsp>
                  </a:graphicData>
                </a:graphic>
              </wp:anchor>
            </w:drawing>
          </mc:Choice>
          <mc:Fallback>
            <w:pict>
              <v:shape id="_x0000_s1039" type="#_x0000_t202" style="position:absolute;margin-left:489.94999999999999pt;margin-top:26.699999999999999pt;width:76.299999999999997pt;height:17.300000000000001pt;z-index:-125829372;mso-wrap-distance-left:0;mso-wrap-distance-top:26.699999999999999pt;mso-wrap-distance-right:0;mso-wrap-distance-bottom:10.75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Н.Г. Пызина</w:t>
                      </w:r>
                    </w:p>
                  </w:txbxContent>
                </v:textbox>
                <w10:wrap type="topAndBottom" anchorx="page"/>
              </v:shape>
            </w:pict>
          </mc:Fallback>
        </mc:AlternateContent>
      </w:r>
    </w:p>
    <w:p>
      <w:pPr>
        <w:pStyle w:val="Style34"/>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Пызина Наталья Геннадьевна</w:t>
      </w:r>
    </w:p>
    <w:p>
      <w:pPr>
        <w:pStyle w:val="Style34"/>
        <w:keepNext w:val="0"/>
        <w:keepLines w:val="0"/>
        <w:widowControl w:val="0"/>
        <w:shd w:val="clear" w:color="auto" w:fill="auto"/>
        <w:bidi w:val="0"/>
        <w:spacing w:before="0" w:after="0" w:line="240" w:lineRule="auto"/>
        <w:ind w:right="0" w:firstLine="0"/>
        <w:jc w:val="left"/>
      </w:pPr>
      <w:r>
        <w:rPr>
          <w:color w:val="47474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74747"/>
          <w:spacing w:val="0"/>
          <w:w w:val="100"/>
          <w:position w:val="0"/>
          <w:shd w:val="clear" w:color="auto" w:fill="auto"/>
          <w:lang w:val="ru-RU" w:eastAsia="ru-RU" w:bidi="ru-RU"/>
        </w:rPr>
        <w:t>00ВС6ВЕЕЕ)ЕС50Е60775С5ЕАО83Е9338О6</w:t>
      </w:r>
      <w:r>
        <w:rPr>
          <w:color w:val="474747"/>
          <w:spacing w:val="0"/>
          <w:w w:val="100"/>
          <w:position w:val="0"/>
          <w:shd w:val="clear" w:color="auto" w:fill="auto"/>
          <w:lang w:val="ru-RU" w:eastAsia="ru-RU" w:bidi="ru-RU"/>
        </w:rPr>
        <w:t>‘</w:t>
      </w:r>
    </w:p>
    <w:p>
      <w:pPr>
        <w:pStyle w:val="Style34"/>
        <w:keepNext w:val="0"/>
        <w:keepLines w:val="0"/>
        <w:widowControl w:val="0"/>
        <w:shd w:val="clear" w:color="auto" w:fill="auto"/>
        <w:bidi w:val="0"/>
        <w:spacing w:before="0" w:after="280" w:line="240" w:lineRule="auto"/>
        <w:ind w:right="0" w:firstLine="0"/>
        <w:jc w:val="left"/>
      </w:pPr>
      <w:r>
        <w:rPr>
          <w:spacing w:val="0"/>
          <w:w w:val="100"/>
          <w:position w:val="0"/>
          <w:shd w:val="clear" w:color="auto" w:fill="auto"/>
          <w:lang w:val="ru-RU" w:eastAsia="ru-RU" w:bidi="ru-RU"/>
        </w:rPr>
        <w:t xml:space="preserve">Действителен </w:t>
      </w:r>
      <w:r>
        <w:rPr>
          <w:color w:val="474747"/>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08.09.2023 </w:t>
      </w:r>
      <w:r>
        <w:rPr>
          <w:color w:val="818181"/>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01.12.2024</w:t>
      </w:r>
    </w:p>
    <w:p>
      <w:pPr>
        <w:pStyle w:val="Style17"/>
        <w:keepNext w:val="0"/>
        <w:keepLines w:val="0"/>
        <w:widowControl w:val="0"/>
        <w:shd w:val="clear" w:color="auto" w:fill="auto"/>
        <w:bidi w:val="0"/>
        <w:spacing w:before="0" w:after="320" w:line="240" w:lineRule="auto"/>
        <w:ind w:left="0" w:right="0" w:firstLine="0"/>
        <w:jc w:val="left"/>
        <w:rPr>
          <w:sz w:val="28"/>
          <w:szCs w:val="28"/>
        </w:rPr>
      </w:pPr>
      <w:r>
        <mc:AlternateContent>
          <mc:Choice Requires="wps">
            <w:drawing>
              <wp:anchor distT="0" distB="0" distL="114300" distR="114300" simplePos="0" relativeHeight="125829383" behindDoc="0" locked="0" layoutInCell="1" allowOverlap="1">
                <wp:simplePos x="0" y="0"/>
                <wp:positionH relativeFrom="page">
                  <wp:posOffset>6113145</wp:posOffset>
                </wp:positionH>
                <wp:positionV relativeFrom="paragraph">
                  <wp:posOffset>266700</wp:posOffset>
                </wp:positionV>
                <wp:extent cx="1073150" cy="250190"/>
                <wp:wrapSquare wrapText="left"/>
                <wp:docPr id="15" name="Shape 15"/>
                <a:graphic xmlns:a="http://schemas.openxmlformats.org/drawingml/2006/main">
                  <a:graphicData uri="http://schemas.microsoft.com/office/word/2010/wordprocessingShape">
                    <wps:wsp>
                      <wps:cNvSpPr txBox="1"/>
                      <wps:spPr>
                        <a:xfrm>
                          <a:ext cx="1073150" cy="25019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Б.Ш. Карпель</w:t>
                            </w:r>
                          </w:p>
                        </w:txbxContent>
                      </wps:txbx>
                      <wps:bodyPr wrap="none" lIns="0" tIns="0" rIns="0" bIns="0">
                        <a:noAutoFit/>
                      </wps:bodyPr>
                    </wps:wsp>
                  </a:graphicData>
                </a:graphic>
              </wp:anchor>
            </w:drawing>
          </mc:Choice>
          <mc:Fallback>
            <w:pict>
              <v:shape id="_x0000_s1041" type="#_x0000_t202" style="position:absolute;margin-left:481.35000000000002pt;margin-top:21.pt;width:84.5pt;height:19.699999999999999pt;z-index:-125829370;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Б.Ш. Карпель</w:t>
                      </w:r>
                    </w:p>
                  </w:txbxContent>
                </v:textbox>
                <w10:wrap type="square" side="left" anchorx="page"/>
              </v:shape>
            </w:pict>
          </mc:Fallback>
        </mc:AlternateContent>
      </w:r>
      <w:r>
        <w:rPr>
          <w:color w:val="000000"/>
          <w:spacing w:val="0"/>
          <w:w w:val="100"/>
          <w:position w:val="0"/>
          <w:sz w:val="28"/>
          <w:szCs w:val="28"/>
          <w:shd w:val="clear" w:color="auto" w:fill="auto"/>
          <w:lang w:val="ru-RU" w:eastAsia="ru-RU" w:bidi="ru-RU"/>
        </w:rPr>
        <w:t>Члены комиссии:</w:t>
      </w:r>
    </w:p>
    <w:p>
      <w:pPr>
        <w:pStyle w:val="Style40"/>
        <w:keepNext w:val="0"/>
        <w:keepLines w:val="0"/>
        <w:widowControl w:val="0"/>
        <w:shd w:val="clear" w:color="auto" w:fill="auto"/>
        <w:bidi w:val="0"/>
        <w:spacing w:before="0" w:after="90"/>
        <w:ind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4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color w:val="FFFFFF"/>
          <w:spacing w:val="0"/>
          <w:w w:val="100"/>
          <w:position w:val="0"/>
          <w:shd w:val="clear" w:color="auto" w:fill="auto"/>
          <w:lang w:val="ru-RU" w:eastAsia="ru-RU" w:bidi="ru-RU"/>
        </w:rPr>
        <w:t>СВЕДЕНИЯ О СЕРТИФИКАТЕ ЭП</w:t>
      </w:r>
    </w:p>
    <w:p>
      <w:pPr>
        <w:pStyle w:val="Style34"/>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Карпель Бэлла Шамилевна</w:t>
      </w:r>
    </w:p>
    <w:p>
      <w:pPr>
        <w:pStyle w:val="Style34"/>
        <w:keepNext w:val="0"/>
        <w:keepLines w:val="0"/>
        <w:widowControl w:val="0"/>
        <w:shd w:val="clear" w:color="auto" w:fill="auto"/>
        <w:bidi w:val="0"/>
        <w:spacing w:before="0" w:after="0" w:line="240" w:lineRule="auto"/>
        <w:ind w:right="0" w:firstLine="0"/>
        <w:jc w:val="left"/>
      </w:pPr>
      <w:r>
        <w:rPr>
          <w:color w:val="47474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74747"/>
          <w:spacing w:val="0"/>
          <w:w w:val="100"/>
          <w:position w:val="0"/>
          <w:shd w:val="clear" w:color="auto" w:fill="auto"/>
          <w:lang w:val="ru-RU" w:eastAsia="ru-RU" w:bidi="ru-RU"/>
        </w:rPr>
        <w:t>00ВЕ2ОЗЕС52Е1ПА63А577ОЕСАВ4ЮЗЕ72</w:t>
      </w:r>
      <w:r>
        <w:rPr>
          <w:color w:val="474747"/>
          <w:spacing w:val="0"/>
          <w:w w:val="100"/>
          <w:position w:val="0"/>
          <w:shd w:val="clear" w:color="auto" w:fill="auto"/>
          <w:lang w:val="ru-RU" w:eastAsia="ru-RU" w:bidi="ru-RU"/>
        </w:rPr>
        <w:t>!</w:t>
      </w:r>
    </w:p>
    <w:p>
      <w:pPr>
        <w:pStyle w:val="Style34"/>
        <w:keepNext w:val="0"/>
        <w:keepLines w:val="0"/>
        <w:widowControl w:val="0"/>
        <w:shd w:val="clear" w:color="auto" w:fill="auto"/>
        <w:bidi w:val="0"/>
        <w:spacing w:before="0" w:after="280" w:line="240" w:lineRule="auto"/>
        <w:ind w:right="0" w:firstLine="0"/>
        <w:jc w:val="left"/>
      </w:pPr>
      <w:r>
        <w:rPr>
          <w:spacing w:val="0"/>
          <w:w w:val="100"/>
          <w:position w:val="0"/>
          <w:shd w:val="clear" w:color="auto" w:fill="auto"/>
          <w:lang w:val="ru-RU" w:eastAsia="ru-RU" w:bidi="ru-RU"/>
        </w:rPr>
        <w:t xml:space="preserve">Действителен </w:t>
      </w:r>
      <w:r>
        <w:rPr>
          <w:color w:val="474747"/>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07.02.2024 </w:t>
      </w:r>
      <w:r>
        <w:rPr>
          <w:color w:val="818181"/>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02.05.2025</w:t>
      </w:r>
    </w:p>
    <w:p>
      <w:pPr>
        <w:pStyle w:val="Style17"/>
        <w:keepNext w:val="0"/>
        <w:keepLines w:val="0"/>
        <w:widowControl w:val="0"/>
        <w:shd w:val="clear" w:color="auto" w:fill="auto"/>
        <w:bidi w:val="0"/>
        <w:spacing w:before="0" w:after="760" w:line="240" w:lineRule="auto"/>
        <w:ind w:left="0" w:right="0" w:firstLine="0"/>
        <w:jc w:val="right"/>
        <w:rPr>
          <w:sz w:val="28"/>
          <w:szCs w:val="28"/>
        </w:rPr>
      </w:pPr>
      <w:r>
        <w:drawing>
          <wp:anchor distT="0" distB="0" distL="114300" distR="1903730" simplePos="0" relativeHeight="125829385" behindDoc="0" locked="0" layoutInCell="1" allowOverlap="1">
            <wp:simplePos x="0" y="0"/>
            <wp:positionH relativeFrom="page">
              <wp:posOffset>2613660</wp:posOffset>
            </wp:positionH>
            <wp:positionV relativeFrom="paragraph">
              <wp:posOffset>101600</wp:posOffset>
            </wp:positionV>
            <wp:extent cx="384175" cy="572770"/>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384175"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3107690</wp:posOffset>
                </wp:positionH>
                <wp:positionV relativeFrom="paragraph">
                  <wp:posOffset>540385</wp:posOffset>
                </wp:positionV>
                <wp:extent cx="1280160" cy="103505"/>
                <wp:wrapNone/>
                <wp:docPr id="19" name="Shape 1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9E9E9"/>
                                <w:spacing w:val="0"/>
                                <w:w w:val="100"/>
                                <w:position w:val="0"/>
                                <w:shd w:val="clear" w:color="auto" w:fill="auto"/>
                                <w:lang w:val="ru-RU" w:eastAsia="ru-RU" w:bidi="ru-RU"/>
                              </w:rPr>
                              <w:t>СЕРТИФИКАТЕ ЭП</w:t>
                            </w:r>
                          </w:p>
                        </w:txbxContent>
                      </wps:txbx>
                      <wps:bodyPr lIns="0" tIns="0" rIns="0" bIns="0">
                        <a:noAutoFit/>
                      </wps:bodyPr>
                    </wps:wsp>
                  </a:graphicData>
                </a:graphic>
              </wp:anchor>
            </w:drawing>
          </mc:Choice>
          <mc:Fallback>
            <w:pict>
              <v:shape id="_x0000_s1045" type="#_x0000_t202" style="position:absolute;margin-left:244.70000000000002pt;margin-top:42.550000000000004pt;width:100.8pt;height:8.1500000000000004pt;z-index:251657733;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9E9E9"/>
                          <w:spacing w:val="0"/>
                          <w:w w:val="100"/>
                          <w:position w:val="0"/>
                          <w:shd w:val="clear" w:color="auto" w:fill="auto"/>
                          <w:lang w:val="ru-RU" w:eastAsia="ru-RU" w:bidi="ru-RU"/>
                        </w:rPr>
                        <w:t>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3061970</wp:posOffset>
                </wp:positionH>
                <wp:positionV relativeFrom="paragraph">
                  <wp:posOffset>229870</wp:posOffset>
                </wp:positionV>
                <wp:extent cx="1725295" cy="255905"/>
                <wp:wrapNone/>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1.09999999999999pt;margin-top:18.100000000000001pt;width:135.84999999999999pt;height:20.150000000000002pt;z-index:251657735;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8"/>
          <w:szCs w:val="28"/>
          <w:shd w:val="clear" w:color="auto" w:fill="auto"/>
          <w:lang w:val="ru-RU" w:eastAsia="ru-RU" w:bidi="ru-RU"/>
        </w:rPr>
        <w:t>В.Р. Калиниченко</w:t>
      </w:r>
    </w:p>
    <w:p>
      <w:pPr>
        <w:pStyle w:val="Style34"/>
        <w:keepNext w:val="0"/>
        <w:keepLines w:val="0"/>
        <w:widowControl w:val="0"/>
        <w:shd w:val="clear" w:color="auto" w:fill="auto"/>
        <w:bidi w:val="0"/>
        <w:spacing w:before="0" w:after="0" w:line="240" w:lineRule="auto"/>
        <w:ind w:right="0" w:firstLine="0"/>
        <w:jc w:val="left"/>
        <w:rPr>
          <w:sz w:val="11"/>
          <w:szCs w:val="11"/>
        </w:rPr>
      </w:pPr>
      <w:r>
        <w:rPr>
          <w:color w:val="818181"/>
          <w:spacing w:val="0"/>
          <w:w w:val="100"/>
          <w:position w:val="0"/>
          <w:sz w:val="12"/>
          <w:szCs w:val="12"/>
          <w:shd w:val="clear" w:color="auto" w:fill="auto"/>
          <w:lang w:val="ru-RU" w:eastAsia="ru-RU" w:bidi="ru-RU"/>
        </w:rPr>
        <w:t xml:space="preserve">Кому </w:t>
      </w:r>
      <w:r>
        <w:rPr>
          <w:color w:val="474747"/>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Калиниченко Вероника Ринатовна</w:t>
      </w:r>
    </w:p>
    <w:p>
      <w:pPr>
        <w:pStyle w:val="Style34"/>
        <w:keepNext w:val="0"/>
        <w:keepLines w:val="0"/>
        <w:widowControl w:val="0"/>
        <w:shd w:val="clear" w:color="auto" w:fill="auto"/>
        <w:bidi w:val="0"/>
        <w:spacing w:before="0" w:after="0" w:line="240" w:lineRule="auto"/>
        <w:ind w:right="0" w:firstLine="0"/>
        <w:jc w:val="left"/>
      </w:pPr>
      <w:r>
        <w:rPr>
          <w:color w:val="47474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00ОА8872Е021 Е861788498А4Е55ААЕ7193</w:t>
      </w:r>
    </w:p>
    <w:p>
      <w:pPr>
        <w:pStyle w:val="Style34"/>
        <w:keepNext w:val="0"/>
        <w:keepLines w:val="0"/>
        <w:widowControl w:val="0"/>
        <w:shd w:val="clear" w:color="auto" w:fill="auto"/>
        <w:bidi w:val="0"/>
        <w:spacing w:before="0" w:after="700" w:line="240" w:lineRule="auto"/>
        <w:ind w:right="0" w:firstLine="0"/>
        <w:jc w:val="left"/>
      </w:pPr>
      <w:r>
        <w:rPr>
          <w:color w:val="474747"/>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17.06.2024 </w:t>
      </w:r>
      <w:r>
        <w:rPr>
          <w:color w:val="818181"/>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10.09.2025</w:t>
      </w:r>
    </w:p>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Исп.Калиниченко В.Р.</w:t>
      </w:r>
    </w:p>
    <w:p>
      <w:pPr>
        <w:pStyle w:val="Style23"/>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тел.8(8652) 35-28-07, вн.026-140</w:t>
      </w:r>
    </w:p>
    <w:sectPr>
      <w:footnotePr>
        <w:pos w:val="pageBottom"/>
        <w:numFmt w:val="decimal"/>
        <w:numRestart w:val="continuous"/>
      </w:footnotePr>
      <w:type w:val="continuous"/>
      <w:pgSz w:w="11900" w:h="16840"/>
      <w:pgMar w:top="1110" w:right="541"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10032365</wp:posOffset>
              </wp:positionV>
              <wp:extent cx="725170" cy="100330"/>
              <wp:wrapNone/>
              <wp:docPr id="1" name="Shape 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2024-14312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789.95000000000005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2024-14312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2024-14312</w:t>
                          </w:r>
                        </w:p>
                      </w:txbxContent>
                    </wps:txbx>
                    <wps:bodyPr wrap="none" lIns="0" tIns="0" rIns="0" bIns="0">
                      <a:spAutoFit/>
                    </wps:bodyPr>
                  </wps:wsp>
                </a:graphicData>
              </a:graphic>
            </wp:anchor>
          </w:drawing>
        </mc:Choice>
        <mc:Fallback>
          <w:pict>
            <v:shape id="_x0000_s1029"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2024-14312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8)_"/>
    <w:basedOn w:val="DefaultParagraphFont"/>
    <w:link w:val="Style2"/>
    <w:rPr>
      <w:rFonts w:ascii="Times New Roman" w:eastAsia="Times New Roman" w:hAnsi="Times New Roman" w:cs="Times New Roman"/>
      <w:b w:val="0"/>
      <w:bCs w:val="0"/>
      <w:i w:val="0"/>
      <w:iCs w:val="0"/>
      <w:smallCaps w:val="0"/>
      <w:strike w:val="0"/>
      <w:color w:val="476199"/>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11">
    <w:name w:val="Основной текст (5)_"/>
    <w:basedOn w:val="DefaultParagraphFont"/>
    <w:link w:val="Style10"/>
    <w:rPr>
      <w:rFonts w:ascii="Times New Roman" w:eastAsia="Times New Roman" w:hAnsi="Times New Roman" w:cs="Times New Roman"/>
      <w:b/>
      <w:bCs/>
      <w:i w:val="0"/>
      <w:iCs w:val="0"/>
      <w:smallCaps w:val="0"/>
      <w:strike w:val="0"/>
      <w:color w:val="476199"/>
      <w:sz w:val="19"/>
      <w:szCs w:val="19"/>
      <w:u w:val="none"/>
    </w:rPr>
  </w:style>
  <w:style w:type="character" w:customStyle="1" w:styleId="CharStyle14">
    <w:name w:val="Заголовок №2_"/>
    <w:basedOn w:val="DefaultParagraphFont"/>
    <w:link w:val="Style13"/>
    <w:rPr>
      <w:rFonts w:ascii="Times New Roman" w:eastAsia="Times New Roman" w:hAnsi="Times New Roman" w:cs="Times New Roman"/>
      <w:b w:val="0"/>
      <w:bCs w:val="0"/>
      <w:i w:val="0"/>
      <w:iCs w:val="0"/>
      <w:smallCaps w:val="0"/>
      <w:strike w:val="0"/>
      <w:sz w:val="30"/>
      <w:szCs w:val="30"/>
      <w:u w:val="singl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1">
    <w:name w:val="Подпись к картинке_"/>
    <w:basedOn w:val="DefaultParagraphFont"/>
    <w:link w:val="Style20"/>
    <w:rPr>
      <w:rFonts w:ascii="Times New Roman" w:eastAsia="Times New Roman" w:hAnsi="Times New Roman" w:cs="Times New Roman"/>
      <w:b w:val="0"/>
      <w:bCs w:val="0"/>
      <w:i w:val="0"/>
      <w:iCs w:val="0"/>
      <w:smallCaps w:val="0"/>
      <w:strike w:val="0"/>
      <w:color w:val="222222"/>
      <w:sz w:val="12"/>
      <w:szCs w:val="12"/>
      <w:u w:val="none"/>
    </w:rPr>
  </w:style>
  <w:style w:type="character" w:customStyle="1" w:styleId="CharStyle24">
    <w:name w:val="Основной текст (6)_"/>
    <w:basedOn w:val="DefaultParagraphFont"/>
    <w:link w:val="Style23"/>
    <w:rPr>
      <w:rFonts w:ascii="Times New Roman" w:eastAsia="Times New Roman" w:hAnsi="Times New Roman" w:cs="Times New Roman"/>
      <w:b w:val="0"/>
      <w:bCs w:val="0"/>
      <w:i w:val="0"/>
      <w:iCs w:val="0"/>
      <w:smallCaps w:val="0"/>
      <w:strike w:val="0"/>
      <w:sz w:val="22"/>
      <w:szCs w:val="22"/>
      <w:u w:val="none"/>
    </w:rPr>
  </w:style>
  <w:style w:type="character" w:customStyle="1" w:styleId="CharStyle28">
    <w:name w:val="Заголовок №1_"/>
    <w:basedOn w:val="DefaultParagraphFont"/>
    <w:link w:val="Style27"/>
    <w:rPr>
      <w:rFonts w:ascii="Arial" w:eastAsia="Arial" w:hAnsi="Arial" w:cs="Arial"/>
      <w:b w:val="0"/>
      <w:bCs w:val="0"/>
      <w:i w:val="0"/>
      <w:iCs w:val="0"/>
      <w:smallCaps w:val="0"/>
      <w:strike w:val="0"/>
      <w:sz w:val="32"/>
      <w:szCs w:val="32"/>
      <w:u w:val="none"/>
    </w:rPr>
  </w:style>
  <w:style w:type="character" w:customStyle="1" w:styleId="CharStyle35">
    <w:name w:val="Основной текст (2)_"/>
    <w:basedOn w:val="DefaultParagraphFont"/>
    <w:link w:val="Style34"/>
    <w:rPr>
      <w:rFonts w:ascii="Arial" w:eastAsia="Arial" w:hAnsi="Arial" w:cs="Arial"/>
      <w:b w:val="0"/>
      <w:bCs w:val="0"/>
      <w:i w:val="0"/>
      <w:iCs w:val="0"/>
      <w:smallCaps w:val="0"/>
      <w:strike w:val="0"/>
      <w:color w:val="646464"/>
      <w:sz w:val="12"/>
      <w:szCs w:val="12"/>
      <w:u w:val="none"/>
    </w:rPr>
  </w:style>
  <w:style w:type="character" w:customStyle="1" w:styleId="CharStyle41">
    <w:name w:val="Основной текст (4)_"/>
    <w:basedOn w:val="DefaultParagraphFont"/>
    <w:link w:val="Style40"/>
    <w:rPr>
      <w:rFonts w:ascii="Times New Roman" w:eastAsia="Times New Roman" w:hAnsi="Times New Roman" w:cs="Times New Roman"/>
      <w:b w:val="0"/>
      <w:bCs w:val="0"/>
      <w:i w:val="0"/>
      <w:iCs w:val="0"/>
      <w:smallCaps w:val="0"/>
      <w:strike w:val="0"/>
      <w:color w:val="222222"/>
      <w:sz w:val="12"/>
      <w:szCs w:val="12"/>
      <w:u w:val="none"/>
    </w:rPr>
  </w:style>
  <w:style w:type="character" w:customStyle="1" w:styleId="CharStyle44">
    <w:name w:val="Основной текст (7)_"/>
    <w:basedOn w:val="DefaultParagraphFont"/>
    <w:link w:val="Style43"/>
    <w:rPr>
      <w:rFonts w:ascii="Georgia" w:eastAsia="Georgia" w:hAnsi="Georgia" w:cs="Georgia"/>
      <w:b w:val="0"/>
      <w:bCs w:val="0"/>
      <w:i w:val="0"/>
      <w:iCs w:val="0"/>
      <w:smallCaps w:val="0"/>
      <w:strike w:val="0"/>
      <w:color w:val="EBEBEB"/>
      <w:sz w:val="12"/>
      <w:szCs w:val="12"/>
      <w:u w:val="none"/>
    </w:rPr>
  </w:style>
  <w:style w:type="paragraph" w:customStyle="1" w:styleId="Style2">
    <w:name w:val="Основной текст (8)"/>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76199"/>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3)"/>
    <w:basedOn w:val="Normal"/>
    <w:link w:val="CharStyle8"/>
    <w:pPr>
      <w:widowControl w:val="0"/>
      <w:shd w:val="clear" w:color="auto" w:fill="auto"/>
      <w:spacing w:after="240" w:line="281"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10">
    <w:name w:val="Основной текст (5)"/>
    <w:basedOn w:val="Normal"/>
    <w:link w:val="CharStyle11"/>
    <w:pPr>
      <w:widowControl w:val="0"/>
      <w:shd w:val="clear" w:color="auto" w:fill="auto"/>
      <w:spacing w:after="180"/>
      <w:jc w:val="center"/>
    </w:pPr>
    <w:rPr>
      <w:rFonts w:ascii="Times New Roman" w:eastAsia="Times New Roman" w:hAnsi="Times New Roman" w:cs="Times New Roman"/>
      <w:b/>
      <w:bCs/>
      <w:i w:val="0"/>
      <w:iCs w:val="0"/>
      <w:smallCaps w:val="0"/>
      <w:strike w:val="0"/>
      <w:color w:val="476199"/>
      <w:sz w:val="19"/>
      <w:szCs w:val="19"/>
      <w:u w:val="none"/>
    </w:rPr>
  </w:style>
  <w:style w:type="paragraph" w:customStyle="1" w:styleId="Style13">
    <w:name w:val="Заголовок №2"/>
    <w:basedOn w:val="Normal"/>
    <w:link w:val="CharStyle14"/>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7">
    <w:name w:val="Основной текст"/>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0">
    <w:name w:val="Подпись к картинке"/>
    <w:basedOn w:val="Normal"/>
    <w:link w:val="CharStyle21"/>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22222"/>
      <w:sz w:val="12"/>
      <w:szCs w:val="12"/>
      <w:u w:val="none"/>
    </w:rPr>
  </w:style>
  <w:style w:type="paragraph" w:customStyle="1" w:styleId="Style23">
    <w:name w:val="Основной текст (6)"/>
    <w:basedOn w:val="Normal"/>
    <w:link w:val="CharStyle24"/>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 w:type="paragraph" w:customStyle="1" w:styleId="Style27">
    <w:name w:val="Заголовок №1"/>
    <w:basedOn w:val="Normal"/>
    <w:link w:val="CharStyle28"/>
    <w:pPr>
      <w:widowControl w:val="0"/>
      <w:shd w:val="clear" w:color="auto" w:fill="auto"/>
      <w:spacing w:after="260"/>
      <w:outlineLvl w:val="0"/>
    </w:pPr>
    <w:rPr>
      <w:rFonts w:ascii="Arial" w:eastAsia="Arial" w:hAnsi="Arial" w:cs="Arial"/>
      <w:b w:val="0"/>
      <w:bCs w:val="0"/>
      <w:i w:val="0"/>
      <w:iCs w:val="0"/>
      <w:smallCaps w:val="0"/>
      <w:strike w:val="0"/>
      <w:sz w:val="32"/>
      <w:szCs w:val="32"/>
      <w:u w:val="none"/>
    </w:rPr>
  </w:style>
  <w:style w:type="paragraph" w:customStyle="1" w:styleId="Style34">
    <w:name w:val="Основной текст (2)"/>
    <w:basedOn w:val="Normal"/>
    <w:link w:val="CharStyle35"/>
    <w:pPr>
      <w:widowControl w:val="0"/>
      <w:shd w:val="clear" w:color="auto" w:fill="auto"/>
      <w:ind w:left="3080"/>
    </w:pPr>
    <w:rPr>
      <w:rFonts w:ascii="Arial" w:eastAsia="Arial" w:hAnsi="Arial" w:cs="Arial"/>
      <w:b w:val="0"/>
      <w:bCs w:val="0"/>
      <w:i w:val="0"/>
      <w:iCs w:val="0"/>
      <w:smallCaps w:val="0"/>
      <w:strike w:val="0"/>
      <w:color w:val="646464"/>
      <w:sz w:val="12"/>
      <w:szCs w:val="12"/>
      <w:u w:val="none"/>
    </w:rPr>
  </w:style>
  <w:style w:type="paragraph" w:customStyle="1" w:styleId="Style40">
    <w:name w:val="Основной текст (4)"/>
    <w:basedOn w:val="Normal"/>
    <w:link w:val="CharStyle41"/>
    <w:pPr>
      <w:widowControl w:val="0"/>
      <w:shd w:val="clear" w:color="auto" w:fill="auto"/>
      <w:spacing w:after="100" w:line="218" w:lineRule="auto"/>
      <w:ind w:left="3740"/>
    </w:pPr>
    <w:rPr>
      <w:rFonts w:ascii="Times New Roman" w:eastAsia="Times New Roman" w:hAnsi="Times New Roman" w:cs="Times New Roman"/>
      <w:b w:val="0"/>
      <w:bCs w:val="0"/>
      <w:i w:val="0"/>
      <w:iCs w:val="0"/>
      <w:smallCaps w:val="0"/>
      <w:strike w:val="0"/>
      <w:color w:val="222222"/>
      <w:sz w:val="12"/>
      <w:szCs w:val="12"/>
      <w:u w:val="none"/>
    </w:rPr>
  </w:style>
  <w:style w:type="paragraph" w:customStyle="1" w:styleId="Style43">
    <w:name w:val="Основной текст (7)"/>
    <w:basedOn w:val="Normal"/>
    <w:link w:val="CharStyle44"/>
    <w:pPr>
      <w:widowControl w:val="0"/>
      <w:shd w:val="clear" w:color="auto" w:fill="auto"/>
      <w:spacing w:after="100"/>
      <w:jc w:val="center"/>
    </w:pPr>
    <w:rPr>
      <w:rFonts w:ascii="Georgia" w:eastAsia="Georgia" w:hAnsi="Georgia" w:cs="Georgia"/>
      <w:b w:val="0"/>
      <w:bCs w:val="0"/>
      <w:i w:val="0"/>
      <w:iCs w:val="0"/>
      <w:smallCaps w:val="0"/>
      <w:strike w:val="0"/>
      <w:color w:val="EBEBE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s>
</file>

<file path=docProps/core.xml><?xml version="1.0" encoding="utf-8"?>
<cp:coreProperties xmlns:cp="http://schemas.openxmlformats.org/package/2006/metadata/core-properties" xmlns:dc="http://purl.org/dc/elements/1.1/">
  <dc:title>"Обзор судебной практики в сфере закупок для государственных и муниципальных нужд (апрель 2024 года)"(Управление контроля размещения государственного заказа ФАС России)(Подготовлен для системы КонсультантПлюс, 2024)</dc:title>
  <dc:subject/>
  <dc:creator/>
  <cp:keywords/>
</cp:coreProperties>
</file>