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80" w:line="240" w:lineRule="auto"/>
        <w:ind w:left="0" w:right="0" w:firstLine="0"/>
        <w:jc w:val="center"/>
        <w:rPr>
          <w:sz w:val="134"/>
          <w:szCs w:val="134"/>
        </w:rPr>
      </w:pPr>
      <w:r>
        <w:rPr>
          <w:color w:val="476198"/>
          <w:spacing w:val="0"/>
          <w:w w:val="100"/>
          <w:position w:val="0"/>
          <w:sz w:val="134"/>
          <w:szCs w:val="134"/>
          <w:u w:val="single"/>
          <w:shd w:val="clear" w:color="auto" w:fill="auto"/>
          <w:lang w:val="ru-RU" w:eastAsia="ru-RU" w:bidi="ru-RU"/>
        </w:rPr>
        <w:t>е</w:t>
      </w:r>
    </w:p>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color w:val="476198"/>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rPr>
          <w:sz w:val="19"/>
          <w:szCs w:val="19"/>
        </w:rPr>
      </w:pPr>
      <w:r>
        <w:rPr>
          <w:b/>
          <w:bCs/>
          <w:color w:val="476198"/>
          <w:spacing w:val="0"/>
          <w:w w:val="100"/>
          <w:position w:val="0"/>
          <w:sz w:val="19"/>
          <w:szCs w:val="19"/>
          <w:shd w:val="clear" w:color="auto" w:fill="auto"/>
          <w:lang w:val="ru-RU" w:eastAsia="ru-RU" w:bidi="ru-RU"/>
        </w:rPr>
        <w:t>УПРАВЛЕНИЕ</w:t>
        <w:br/>
        <w:t>Федеральной антимонопольной службы</w:t>
        <w:br/>
        <w:t>по Амурской области</w:t>
      </w:r>
    </w:p>
    <w:p>
      <w:pPr>
        <w:pStyle w:val="Style2"/>
        <w:keepNext w:val="0"/>
        <w:keepLines w:val="0"/>
        <w:widowControl w:val="0"/>
        <w:shd w:val="clear" w:color="auto" w:fill="auto"/>
        <w:bidi w:val="0"/>
        <w:spacing w:before="0" w:after="0" w:line="276" w:lineRule="auto"/>
        <w:ind w:left="0" w:right="0" w:firstLine="0"/>
        <w:jc w:val="center"/>
        <w:rPr>
          <w:sz w:val="16"/>
          <w:szCs w:val="16"/>
        </w:rPr>
      </w:pPr>
      <w:r>
        <w:rPr>
          <w:color w:val="476198"/>
          <w:spacing w:val="0"/>
          <w:w w:val="100"/>
          <w:position w:val="0"/>
          <w:sz w:val="16"/>
          <w:szCs w:val="16"/>
          <w:shd w:val="clear" w:color="auto" w:fill="auto"/>
          <w:lang w:val="ru-RU" w:eastAsia="ru-RU" w:bidi="ru-RU"/>
        </w:rPr>
        <w:t>ул. Амурская, 150, г. Благовещенск</w:t>
      </w:r>
    </w:p>
    <w:p>
      <w:pPr>
        <w:pStyle w:val="Style2"/>
        <w:keepNext w:val="0"/>
        <w:keepLines w:val="0"/>
        <w:widowControl w:val="0"/>
        <w:shd w:val="clear" w:color="auto" w:fill="auto"/>
        <w:bidi w:val="0"/>
        <w:spacing w:before="0" w:after="0" w:line="276" w:lineRule="auto"/>
        <w:ind w:left="0" w:right="0" w:firstLine="0"/>
        <w:jc w:val="center"/>
        <w:rPr>
          <w:sz w:val="16"/>
          <w:szCs w:val="16"/>
        </w:rPr>
      </w:pPr>
      <w:r>
        <w:rPr>
          <w:color w:val="476198"/>
          <w:spacing w:val="0"/>
          <w:w w:val="100"/>
          <w:position w:val="0"/>
          <w:sz w:val="16"/>
          <w:szCs w:val="16"/>
          <w:shd w:val="clear" w:color="auto" w:fill="auto"/>
          <w:lang w:val="ru-RU" w:eastAsia="ru-RU" w:bidi="ru-RU"/>
        </w:rPr>
        <w:t>Амурская область, 675000</w:t>
        <w:br/>
        <w:t>тел. (4162) 52-00-07, факс (4162) 52-00-35</w:t>
        <w:br/>
        <w:t>е-таП: 1о28@Й8.§оу.ги</w:t>
      </w:r>
    </w:p>
    <w:p>
      <w:pPr>
        <w:pStyle w:val="Style11"/>
        <w:keepNext/>
        <w:keepLines/>
        <w:widowControl w:val="0"/>
        <w:shd w:val="clear" w:color="auto" w:fill="auto"/>
        <w:tabs>
          <w:tab w:pos="1838"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8.10.2024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МП/4078/2</w:t>
      </w:r>
      <w:r>
        <w:rPr>
          <w:color w:val="000000"/>
          <w:spacing w:val="0"/>
          <w:w w:val="100"/>
          <w:position w:val="0"/>
          <w:u w:val="none"/>
          <w:shd w:val="clear" w:color="auto" w:fill="auto"/>
          <w:lang w:val="ru-RU" w:eastAsia="ru-RU" w:bidi="ru-RU"/>
        </w:rPr>
        <w:t>4</w:t>
      </w:r>
      <w:bookmarkEnd w:id="0"/>
    </w:p>
    <w:p>
      <w:pPr>
        <w:pStyle w:val="Style2"/>
        <w:keepNext w:val="0"/>
        <w:keepLines w:val="0"/>
        <w:widowControl w:val="0"/>
        <w:shd w:val="clear" w:color="auto" w:fill="auto"/>
        <w:bidi w:val="0"/>
        <w:spacing w:before="0" w:after="0" w:line="264" w:lineRule="auto"/>
        <w:ind w:left="0" w:right="0" w:firstLine="0"/>
        <w:jc w:val="left"/>
        <w:rPr>
          <w:sz w:val="18"/>
          <w:szCs w:val="18"/>
        </w:rPr>
      </w:pPr>
      <w:r>
        <w:rPr>
          <w:color w:val="476198"/>
          <w:spacing w:val="0"/>
          <w:w w:val="100"/>
          <w:position w:val="0"/>
          <w:sz w:val="18"/>
          <w:szCs w:val="18"/>
          <w:shd w:val="clear" w:color="auto" w:fill="auto"/>
          <w:lang w:val="ru-RU" w:eastAsia="ru-RU" w:bidi="ru-RU"/>
        </w:rPr>
        <w:t xml:space="preserve">На №  от</w:t>
      </w:r>
    </w:p>
    <w:p>
      <w:pPr>
        <w:pStyle w:val="Style15"/>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Федеральное казенное учреждение «Исправительная колония № 8 управления федеральной службы исполнения наказаний по Амурской области» Пн11к-8@та11.1Т1</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Общество с ограниченной ответственностью «Техноимпорт» 108802, г. Москва, поселение Сосенское, д. Сосенки, владение 389, стр.2, этаж 2, офис 66ж</w:t>
      </w:r>
    </w:p>
    <w:p>
      <w:pPr>
        <w:pStyle w:val="Style15"/>
        <w:keepNext w:val="0"/>
        <w:keepLines w:val="0"/>
        <w:widowControl w:val="0"/>
        <w:shd w:val="clear" w:color="auto" w:fill="auto"/>
        <w:bidi w:val="0"/>
        <w:spacing w:before="0" w:after="0" w:line="240" w:lineRule="auto"/>
        <w:ind w:left="0" w:right="0" w:firstLine="0"/>
        <w:jc w:val="left"/>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63" w:right="666" w:bottom="1236" w:left="1140" w:header="0" w:footer="3" w:gutter="0"/>
          <w:pgNumType w:start="1"/>
          <w:cols w:num="2" w:space="720" w:equalWidth="0">
            <w:col w:w="4277" w:space="989"/>
            <w:col w:w="4829"/>
          </w:cols>
          <w:noEndnote/>
          <w:titlePg/>
          <w:rtlGutter w:val="0"/>
          <w:docGrid w:linePitch="360"/>
        </w:sectPr>
      </w:pPr>
      <w:r>
        <w:rPr>
          <w:color w:val="000000"/>
          <w:spacing w:val="0"/>
          <w:w w:val="100"/>
          <w:position w:val="0"/>
          <w:shd w:val="clear" w:color="auto" w:fill="auto"/>
          <w:lang w:val="ru-RU" w:eastAsia="ru-RU" w:bidi="ru-RU"/>
        </w:rPr>
        <w:t>(ек11поп11роП.111О5СО\у@таП.1Т1</w:t>
      </w:r>
    </w:p>
    <w:p>
      <w:pPr>
        <w:widowControl w:val="0"/>
        <w:spacing w:line="172" w:lineRule="exact"/>
        <w:rPr>
          <w:sz w:val="14"/>
          <w:szCs w:val="14"/>
        </w:rPr>
      </w:pPr>
    </w:p>
    <w:p>
      <w:pPr>
        <w:widowControl w:val="0"/>
        <w:spacing w:line="1" w:lineRule="exact"/>
        <w:sectPr>
          <w:footnotePr>
            <w:pos w:val="pageBottom"/>
            <w:numFmt w:val="decimal"/>
            <w:numRestart w:val="continuous"/>
          </w:footnotePr>
          <w:type w:val="continuous"/>
          <w:pgSz w:w="11900" w:h="16840"/>
          <w:pgMar w:top="778" w:right="0" w:bottom="720" w:left="0" w:header="0" w:footer="3" w:gutter="0"/>
          <w:cols w:space="720"/>
          <w:noEndnote/>
          <w:rtlGutter w:val="0"/>
          <w:docGrid w:linePitch="360"/>
        </w:sectPr>
      </w:pPr>
    </w:p>
    <w:p>
      <w:pPr>
        <w:pStyle w:val="Style15"/>
        <w:keepNext w:val="0"/>
        <w:keepLines w:val="0"/>
        <w:widowControl w:val="0"/>
        <w:shd w:val="clear" w:color="auto" w:fill="auto"/>
        <w:bidi w:val="0"/>
        <w:spacing w:before="0" w:after="60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Решение по делу № 028/06/106 780/2024</w:t>
      </w:r>
    </w:p>
    <w:p>
      <w:pPr>
        <w:pStyle w:val="Style15"/>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РЕШЕНИЕ</w:t>
        <w:br/>
        <w:t>по делу № 028/06/106-780/2024</w:t>
      </w:r>
    </w:p>
    <w:p>
      <w:pPr>
        <w:pStyle w:val="Style15"/>
        <w:keepNext w:val="0"/>
        <w:keepLines w:val="0"/>
        <w:widowControl w:val="0"/>
        <w:shd w:val="clear" w:color="auto" w:fill="auto"/>
        <w:tabs>
          <w:tab w:pos="8371" w:val="left"/>
        </w:tabs>
        <w:bidi w:val="0"/>
        <w:spacing w:before="0" w:after="0" w:line="240" w:lineRule="auto"/>
        <w:ind w:left="0" w:right="0" w:firstLine="0"/>
        <w:jc w:val="both"/>
      </w:pPr>
      <w:r>
        <w:rPr>
          <w:color w:val="000000"/>
          <w:spacing w:val="0"/>
          <w:w w:val="100"/>
          <w:position w:val="0"/>
          <w:shd w:val="clear" w:color="auto" w:fill="auto"/>
          <w:lang w:val="ru-RU" w:eastAsia="ru-RU" w:bidi="ru-RU"/>
        </w:rPr>
        <w:t>03.10.2024</w:t>
        <w:tab/>
        <w:t>г. Благовещенск</w:t>
      </w:r>
    </w:p>
    <w:p>
      <w:pPr>
        <w:pStyle w:val="Style15"/>
        <w:keepNext w:val="0"/>
        <w:keepLines w:val="0"/>
        <w:widowControl w:val="0"/>
        <w:shd w:val="clear" w:color="auto" w:fill="auto"/>
        <w:bidi w:val="0"/>
        <w:spacing w:before="0" w:after="260" w:line="240" w:lineRule="auto"/>
        <w:ind w:left="0" w:right="0" w:firstLine="0"/>
        <w:jc w:val="both"/>
      </w:pPr>
      <w:r>
        <w:rPr>
          <w:color w:val="000000"/>
          <w:spacing w:val="0"/>
          <w:w w:val="100"/>
          <w:position w:val="0"/>
          <w:shd w:val="clear" w:color="auto" w:fill="auto"/>
          <w:lang w:val="ru-RU" w:eastAsia="ru-RU" w:bidi="ru-RU"/>
        </w:rPr>
        <w:t>(в полном объеме изготовлено 08.10.2024)</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Амурской области (далее - Амурское УФАС России) по контролю в сфере закупок в составе: Парнищевой М.М. - председателя Комиссии, заместителя руководителя управления - начальника отдела контроля закупок; Стрелковой Е.В. - главного специалиста-эксперта отдела контроля закупок; Левченко И.И. - ведущего специалиста-эксперта отдела контроля закупок,</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присутствии представителей: от заказчика - Котова Р.А., действующего на основании доверенности от 03.10.2023 № 28/68,</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 общества с ограниченной ответственностью «Техноимпорт» (далее - ООО «Техноимпорт») - Курашовой О.А., действующей на основании доверенности от 20.10.2022</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(лицам, присутствующим на заседании комиссии, разъяснены права, порядок рассмотрения дела, сообщено о ведении аудио- и видеозаписи заседания Комиссии Амурского УФАС России),</w:t>
      </w:r>
    </w:p>
    <w:p>
      <w:pPr>
        <w:pStyle w:val="Style15"/>
        <w:keepNext w:val="0"/>
        <w:keepLines w:val="0"/>
        <w:widowControl w:val="0"/>
        <w:shd w:val="clear" w:color="auto" w:fill="auto"/>
        <w:bidi w:val="0"/>
        <w:spacing w:before="0" w:after="420" w:line="240" w:lineRule="auto"/>
        <w:ind w:left="0" w:right="0" w:firstLine="720"/>
        <w:jc w:val="both"/>
      </w:pPr>
      <w:r>
        <w:rPr>
          <w:color w:val="000000"/>
          <w:spacing w:val="0"/>
          <w:w w:val="100"/>
          <w:position w:val="0"/>
          <w:shd w:val="clear" w:color="auto" w:fill="auto"/>
          <w:lang w:val="ru-RU" w:eastAsia="ru-RU" w:bidi="ru-RU"/>
        </w:rPr>
        <w:t>рассмотрела поступившую в Амурское УФАС России жалобу от ООО «Техноимпорт» на действия государственного заказчика - Федерального казенного учреждения «Исправительная колония № 8 управления федеральной службы исполнения наказаний по Амурской области» (далее - ФКУ ИК-8 УФСИН России по Амурской области) при осуществлении закупки в форме электронного аукциона на шкаф для раздевалок металлический, объявленной извещением от 18.09.2024 № 0323100005824000059 на электронной площадке РТС-тендер ИИр://^^^.г18-1еп4ег.ги,</w:t>
      </w:r>
    </w:p>
    <w:p>
      <w:pPr>
        <w:pStyle w:val="Style28"/>
        <w:keepNext/>
        <w:keepLines/>
        <w:widowControl w:val="0"/>
        <w:shd w:val="clear" w:color="auto" w:fill="auto"/>
        <w:bidi w:val="0"/>
        <w:spacing w:before="0" w:after="0" w:line="240" w:lineRule="auto"/>
        <w:ind w:left="0" w:right="0" w:firstLine="0"/>
        <w:jc w:val="left"/>
        <w:rPr>
          <w:sz w:val="26"/>
          <w:szCs w:val="26"/>
        </w:rPr>
      </w:pPr>
      <w:bookmarkStart w:id="2" w:name="bookmark2"/>
      <w:r>
        <w:rPr>
          <w:color w:val="000000"/>
          <w:spacing w:val="0"/>
          <w:w w:val="100"/>
          <w:position w:val="0"/>
          <w:sz w:val="38"/>
          <w:szCs w:val="38"/>
          <w:shd w:val="clear" w:color="auto" w:fill="auto"/>
          <w:lang w:val="ru-RU" w:eastAsia="ru-RU" w:bidi="ru-RU"/>
        </w:rPr>
        <w:t>||||||||||||||||||||||||</w:t>
      </w:r>
      <w:bookmarkEnd w:id="2"/>
      <w:r>
        <w:rPr>
          <w:color w:val="000000"/>
          <w:spacing w:val="0"/>
          <w:w w:val="100"/>
          <w:position w:val="0"/>
          <w:sz w:val="38"/>
          <w:szCs w:val="38"/>
          <w:shd w:val="clear" w:color="auto" w:fill="auto"/>
          <w:lang w:val="ru-RU" w:eastAsia="ru-RU" w:bidi="ru-RU"/>
        </w:rPr>
        <w:t xml:space="preserve"> </w:t>
      </w:r>
      <w:r>
        <w:rPr>
          <w:rStyle w:val="CharStyle16"/>
        </w:rPr>
        <w:t>выразившиеся, по мнению заявителя, в нарушении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Федеральный закон).</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жалобы заявителя следует, что документы электронного аукциона не соответствуют требованиям законодательства.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Представитель заказчика с доводами, заявленными в жалобе, не согласился. Просит признать жалобу необоснованной.</w:t>
      </w:r>
    </w:p>
    <w:p>
      <w:pPr>
        <w:pStyle w:val="Style15"/>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Комиссия Амурского УФАС России, рассмотрев жалобу, исследовав материалы дела, проведя в соответствии с частями 3, 15 статьи 99 Закона о контрактной системе внеплановую проверку,</w:t>
      </w:r>
    </w:p>
    <w:p>
      <w:pPr>
        <w:pStyle w:val="Style1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18.09.2024 государственным заказчиком - ФКУ ИК-8 УФСИН России по Амурской области на электронной площадке РТС-тендер 11ир://\у\у\у.г18-1епс1ег.1Ч1 опубликовано извещение № 0323100005824000059 на шкаф для раздевалок металлический.</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Соответствующая информация размещена на официальном сайте Единой информационной системы в сфере закупок</w:t>
      </w:r>
      <w:r>
        <w:fldChar w:fldCharType="begin"/>
      </w:r>
      <w:r>
        <w:rPr/>
        <w:instrText> HYPERLINK "http://www.zakupki.gov.ru/" </w:instrText>
      </w:r>
      <w:r>
        <w:fldChar w:fldCharType="separate"/>
      </w:r>
      <w:r>
        <w:rPr>
          <w:color w:val="000000"/>
          <w:spacing w:val="0"/>
          <w:w w:val="100"/>
          <w:position w:val="0"/>
          <w:shd w:val="clear" w:color="auto" w:fill="auto"/>
          <w:lang w:val="ru-RU" w:eastAsia="ru-RU" w:bidi="ru-RU"/>
        </w:rPr>
        <w:t xml:space="preserve"> \у\у\у./акирк1.доу.ги</w:t>
      </w:r>
      <w:r>
        <w:fldChar w:fldCharType="end"/>
      </w:r>
      <w:r>
        <w:rPr>
          <w:color w:val="000000"/>
          <w:spacing w:val="0"/>
          <w:w w:val="100"/>
          <w:position w:val="0"/>
          <w:shd w:val="clear" w:color="auto" w:fill="auto"/>
          <w:lang w:val="ru-RU" w:eastAsia="ru-RU" w:bidi="ru-RU"/>
        </w:rPr>
        <w:t>.</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установлена в размере 403 753,20 рублей.</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окончания срока подачи заявок - 26.09.2024 в 14:00, дата проведения процедуры подачи предложений о цене контракта либо о сумме цен единиц товара, работы, услуги - 26.09.2024, дата подведения итогов определения поставщика (подрядчика, исполнителя) - 27.09.2024.</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Амурского УФАС России, исследовав материалы дела, приходит к следующим выводам.</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1 части 1 статьи 33 Закона о контрактной системе установлено, что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5"/>
        <w:keepNext w:val="0"/>
        <w:keepLines w:val="0"/>
        <w:widowControl w:val="0"/>
        <w:numPr>
          <w:ilvl w:val="0"/>
          <w:numId w:val="1"/>
        </w:numPr>
        <w:shd w:val="clear" w:color="auto" w:fill="auto"/>
        <w:tabs>
          <w:tab w:pos="108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15"/>
        <w:keepNext w:val="0"/>
        <w:keepLines w:val="0"/>
        <w:widowControl w:val="0"/>
        <w:numPr>
          <w:ilvl w:val="0"/>
          <w:numId w:val="1"/>
        </w:numPr>
        <w:shd w:val="clear" w:color="auto" w:fill="auto"/>
        <w:tabs>
          <w:tab w:pos="109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5"/>
        <w:keepNext w:val="0"/>
        <w:keepLines w:val="0"/>
        <w:widowControl w:val="0"/>
        <w:numPr>
          <w:ilvl w:val="0"/>
          <w:numId w:val="1"/>
        </w:numPr>
        <w:shd w:val="clear" w:color="auto" w:fill="auto"/>
        <w:tabs>
          <w:tab w:pos="108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5"/>
        <w:keepNext w:val="0"/>
        <w:keepLines w:val="0"/>
        <w:widowControl w:val="0"/>
        <w:numPr>
          <w:ilvl w:val="0"/>
          <w:numId w:val="1"/>
        </w:numPr>
        <w:shd w:val="clear" w:color="auto" w:fill="auto"/>
        <w:tabs>
          <w:tab w:pos="104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2 части 1 статьи 33 Закона о контрактной системе заказчиком при описании объекта закупки указывается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описание объекта закупки отсутствуют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Следовательно, довод заявителя о том, что заказчик неправомерно не указал в описание объекта закупки «или эквивалент», не подтверждается материалами дела.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Комиссия Амурского УФАС России приходит к выводу, что нарушение пункта 1 части 1 статьи 33 Закона о контрактной системе в действиях Заказчика отсутствует.</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Частью 2 статьи 33 Закона о контрактной системе установлено, что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описание объекта закупки приложения № 1 к извещению заказчиком установлены следующие качественная и количественная характеристика поставляемых товаров:</w:t>
      </w:r>
    </w:p>
    <w:p>
      <w:pPr>
        <w:pStyle w:val="Style15"/>
        <w:keepNext w:val="0"/>
        <w:keepLines w:val="0"/>
        <w:widowControl w:val="0"/>
        <w:numPr>
          <w:ilvl w:val="0"/>
          <w:numId w:val="3"/>
        </w:numPr>
        <w:shd w:val="clear" w:color="auto" w:fill="auto"/>
        <w:tabs>
          <w:tab w:pos="93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Высота, мм 1850;</w:t>
      </w:r>
    </w:p>
    <w:p>
      <w:pPr>
        <w:pStyle w:val="Style15"/>
        <w:keepNext w:val="0"/>
        <w:keepLines w:val="0"/>
        <w:widowControl w:val="0"/>
        <w:numPr>
          <w:ilvl w:val="0"/>
          <w:numId w:val="3"/>
        </w:numPr>
        <w:shd w:val="clear" w:color="auto" w:fill="auto"/>
        <w:tabs>
          <w:tab w:pos="93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Ширина, мм 600;</w:t>
      </w:r>
    </w:p>
    <w:p>
      <w:pPr>
        <w:pStyle w:val="Style15"/>
        <w:keepNext w:val="0"/>
        <w:keepLines w:val="0"/>
        <w:widowControl w:val="0"/>
        <w:numPr>
          <w:ilvl w:val="0"/>
          <w:numId w:val="3"/>
        </w:numPr>
        <w:shd w:val="clear" w:color="auto" w:fill="auto"/>
        <w:tabs>
          <w:tab w:pos="93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Глубина, мм 500;</w:t>
      </w:r>
    </w:p>
    <w:p>
      <w:pPr>
        <w:pStyle w:val="Style15"/>
        <w:keepNext w:val="0"/>
        <w:keepLines w:val="0"/>
        <w:widowControl w:val="0"/>
        <w:numPr>
          <w:ilvl w:val="0"/>
          <w:numId w:val="3"/>
        </w:numPr>
        <w:shd w:val="clear" w:color="auto" w:fill="auto"/>
        <w:tabs>
          <w:tab w:pos="93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Вес, кг 29,5;</w:t>
      </w:r>
    </w:p>
    <w:p>
      <w:pPr>
        <w:pStyle w:val="Style15"/>
        <w:keepNext w:val="0"/>
        <w:keepLines w:val="0"/>
        <w:widowControl w:val="0"/>
        <w:numPr>
          <w:ilvl w:val="0"/>
          <w:numId w:val="3"/>
        </w:numPr>
        <w:shd w:val="clear" w:color="auto" w:fill="auto"/>
        <w:tabs>
          <w:tab w:pos="93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Габариты (ВхШхГ), см ВхШхГ, мм: 1850х600х500;</w:t>
      </w:r>
    </w:p>
    <w:p>
      <w:pPr>
        <w:pStyle w:val="Style15"/>
        <w:keepNext w:val="0"/>
        <w:keepLines w:val="0"/>
        <w:widowControl w:val="0"/>
        <w:numPr>
          <w:ilvl w:val="0"/>
          <w:numId w:val="3"/>
        </w:numPr>
        <w:shd w:val="clear" w:color="auto" w:fill="auto"/>
        <w:tabs>
          <w:tab w:pos="93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Вид шкафаСборный;</w:t>
      </w:r>
    </w:p>
    <w:p>
      <w:pPr>
        <w:pStyle w:val="Style15"/>
        <w:keepNext w:val="0"/>
        <w:keepLines w:val="0"/>
        <w:widowControl w:val="0"/>
        <w:numPr>
          <w:ilvl w:val="0"/>
          <w:numId w:val="3"/>
        </w:numPr>
        <w:shd w:val="clear" w:color="auto" w:fill="auto"/>
        <w:tabs>
          <w:tab w:pos="98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Вид сборки На заклепках;</w:t>
      </w:r>
    </w:p>
    <w:p>
      <w:pPr>
        <w:pStyle w:val="Style15"/>
        <w:keepNext w:val="0"/>
        <w:keepLines w:val="0"/>
        <w:widowControl w:val="0"/>
        <w:numPr>
          <w:ilvl w:val="0"/>
          <w:numId w:val="3"/>
        </w:numPr>
        <w:shd w:val="clear" w:color="auto" w:fill="auto"/>
        <w:tabs>
          <w:tab w:pos="98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Цвет корпуса светло-серый КАБ7035;</w:t>
      </w:r>
    </w:p>
    <w:p>
      <w:pPr>
        <w:pStyle w:val="Style15"/>
        <w:keepNext w:val="0"/>
        <w:keepLines w:val="0"/>
        <w:widowControl w:val="0"/>
        <w:numPr>
          <w:ilvl w:val="0"/>
          <w:numId w:val="3"/>
        </w:numPr>
        <w:shd w:val="clear" w:color="auto" w:fill="auto"/>
        <w:tabs>
          <w:tab w:pos="98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Цвет дверей светло-серый КАБ7035;</w:t>
      </w:r>
    </w:p>
    <w:p>
      <w:pPr>
        <w:pStyle w:val="Style15"/>
        <w:keepNext w:val="0"/>
        <w:keepLines w:val="0"/>
        <w:widowControl w:val="0"/>
        <w:numPr>
          <w:ilvl w:val="0"/>
          <w:numId w:val="3"/>
        </w:numPr>
        <w:shd w:val="clear" w:color="auto" w:fill="auto"/>
        <w:tabs>
          <w:tab w:pos="98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Количество секций, шт 2;</w:t>
      </w:r>
    </w:p>
    <w:p>
      <w:pPr>
        <w:pStyle w:val="Style15"/>
        <w:keepNext w:val="0"/>
        <w:keepLines w:val="0"/>
        <w:widowControl w:val="0"/>
        <w:numPr>
          <w:ilvl w:val="0"/>
          <w:numId w:val="3"/>
        </w:numPr>
        <w:shd w:val="clear" w:color="auto" w:fill="auto"/>
        <w:tabs>
          <w:tab w:pos="98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Ширина секции, мм 400;</w:t>
      </w:r>
    </w:p>
    <w:p>
      <w:pPr>
        <w:pStyle w:val="Style15"/>
        <w:keepNext w:val="0"/>
        <w:keepLines w:val="0"/>
        <w:widowControl w:val="0"/>
        <w:numPr>
          <w:ilvl w:val="0"/>
          <w:numId w:val="3"/>
        </w:numPr>
        <w:shd w:val="clear" w:color="auto" w:fill="auto"/>
        <w:tabs>
          <w:tab w:pos="98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Количество ячеек в секции, шт 1;</w:t>
      </w:r>
    </w:p>
    <w:p>
      <w:pPr>
        <w:pStyle w:val="Style15"/>
        <w:keepNext w:val="0"/>
        <w:keepLines w:val="0"/>
        <w:widowControl w:val="0"/>
        <w:numPr>
          <w:ilvl w:val="0"/>
          <w:numId w:val="3"/>
        </w:numPr>
        <w:shd w:val="clear" w:color="auto" w:fill="auto"/>
        <w:tabs>
          <w:tab w:pos="98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Количество дверей, шт 2;</w:t>
      </w:r>
    </w:p>
    <w:p>
      <w:pPr>
        <w:pStyle w:val="Style15"/>
        <w:keepNext w:val="0"/>
        <w:keepLines w:val="0"/>
        <w:widowControl w:val="0"/>
        <w:numPr>
          <w:ilvl w:val="0"/>
          <w:numId w:val="3"/>
        </w:numPr>
        <w:shd w:val="clear" w:color="auto" w:fill="auto"/>
        <w:tabs>
          <w:tab w:pos="98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Вид дверей распашные;</w:t>
      </w:r>
    </w:p>
    <w:p>
      <w:pPr>
        <w:pStyle w:val="Style15"/>
        <w:keepNext w:val="0"/>
        <w:keepLines w:val="0"/>
        <w:widowControl w:val="0"/>
        <w:numPr>
          <w:ilvl w:val="0"/>
          <w:numId w:val="3"/>
        </w:numPr>
        <w:shd w:val="clear" w:color="auto" w:fill="auto"/>
        <w:tabs>
          <w:tab w:pos="98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Количество замков, шт 2;</w:t>
      </w:r>
    </w:p>
    <w:p>
      <w:pPr>
        <w:pStyle w:val="Style15"/>
        <w:keepNext w:val="0"/>
        <w:keepLines w:val="0"/>
        <w:widowControl w:val="0"/>
        <w:numPr>
          <w:ilvl w:val="0"/>
          <w:numId w:val="3"/>
        </w:numPr>
        <w:shd w:val="clear" w:color="auto" w:fill="auto"/>
        <w:tabs>
          <w:tab w:pos="98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Вид замка Замок повышенной секретности;</w:t>
      </w:r>
    </w:p>
    <w:p>
      <w:pPr>
        <w:pStyle w:val="Style15"/>
        <w:keepNext w:val="0"/>
        <w:keepLines w:val="0"/>
        <w:widowControl w:val="0"/>
        <w:numPr>
          <w:ilvl w:val="0"/>
          <w:numId w:val="3"/>
        </w:numPr>
        <w:shd w:val="clear" w:color="auto" w:fill="auto"/>
        <w:tabs>
          <w:tab w:pos="98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Нагрузка на полку/дно, кг 30;</w:t>
      </w:r>
    </w:p>
    <w:p>
      <w:pPr>
        <w:pStyle w:val="Style15"/>
        <w:keepNext w:val="0"/>
        <w:keepLines w:val="0"/>
        <w:widowControl w:val="0"/>
        <w:numPr>
          <w:ilvl w:val="0"/>
          <w:numId w:val="3"/>
        </w:numPr>
        <w:shd w:val="clear" w:color="auto" w:fill="auto"/>
        <w:tabs>
          <w:tab w:pos="98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Количество упаковок, шт. 1.</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Комиссией Амурского УФАС России установлено, что в описание объекта закупки приложения № 1 к извещению заказчик определил конкретные показатели без указания максимальных и (или) минимальных значений таких показателей, что является нарушением части 2 статьи 33.</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основании вышеизложенного, Комиссия Амурского УФАС России приходит к выводу, что в действиях заказчика имеются нарушения части 2 статьи 33 Закона о контрактной системе.</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Пунктом 5 части 1 статьи 42 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основании пункта 14 части 3 статьи 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 (далее - КТРУ).</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Частью 6 статьи 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Постановлением Правительства Российской Федерации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Согласно подпункту «б» пункта 2 Правил использования КТРУ каталог используется заказчиками в целях описания объектов закупки, которое включается в план- </w:t>
      </w:r>
      <w:r>
        <w:rPr>
          <w:color w:val="000000"/>
          <w:spacing w:val="0"/>
          <w:w w:val="100"/>
          <w:position w:val="0"/>
          <w:shd w:val="clear" w:color="auto" w:fill="auto"/>
          <w:lang w:val="ru-RU" w:eastAsia="ru-RU" w:bidi="ru-RU"/>
        </w:rPr>
        <w:t>график закупок, извещение об осуществлении закупки, приглашение и документацию о закупке.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Из пункта 4 Правил использования КТРУ следует, что заказчики обязаны применять информацию, включенную в позицию каталога в соответствии с подпунктами «б» - «г» и «е» </w:t>
      </w:r>
      <w:r>
        <w:rPr>
          <w:i/>
          <w:iCs/>
          <w:color w:val="000000"/>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 xml:space="preserve">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5"/>
        <w:keepNext w:val="0"/>
        <w:keepLines w:val="0"/>
        <w:widowControl w:val="0"/>
        <w:numPr>
          <w:ilvl w:val="0"/>
          <w:numId w:val="5"/>
        </w:numPr>
        <w:shd w:val="clear" w:color="auto" w:fill="auto"/>
        <w:tabs>
          <w:tab w:pos="104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наименование товара, работы, услуги;</w:t>
      </w:r>
    </w:p>
    <w:p>
      <w:pPr>
        <w:pStyle w:val="Style15"/>
        <w:keepNext w:val="0"/>
        <w:keepLines w:val="0"/>
        <w:widowControl w:val="0"/>
        <w:numPr>
          <w:ilvl w:val="0"/>
          <w:numId w:val="5"/>
        </w:numPr>
        <w:shd w:val="clear" w:color="auto" w:fill="auto"/>
        <w:tabs>
          <w:tab w:pos="119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5"/>
        <w:keepNext w:val="0"/>
        <w:keepLines w:val="0"/>
        <w:widowControl w:val="0"/>
        <w:numPr>
          <w:ilvl w:val="0"/>
          <w:numId w:val="5"/>
        </w:numPr>
        <w:shd w:val="clear" w:color="auto" w:fill="auto"/>
        <w:tabs>
          <w:tab w:pos="105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описание товара, работы, услуги (при наличии такого описания в позиции).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Комиссия Амурского УФАС России отмечает, что при формировании извещения Заказчик, руководствуясь приведенными нормами, обязан установить код позиции КТРУ, соответствующий закупаемому товару.</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подпункту «а» пункта 5 Правил использования КТРУ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pPr>
        <w:pStyle w:val="Style15"/>
        <w:keepNext w:val="0"/>
        <w:keepLines w:val="0"/>
        <w:widowControl w:val="0"/>
        <w:numPr>
          <w:ilvl w:val="0"/>
          <w:numId w:val="7"/>
        </w:numPr>
        <w:shd w:val="clear" w:color="auto" w:fill="auto"/>
        <w:tabs>
          <w:tab w:pos="103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осуществления закупки радиоэлектронной продукции, включенной в пункты 22 - 27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 "О мерах стимулирования производства </w:t>
      </w:r>
      <w:r>
        <w:rPr>
          <w:color w:val="000000"/>
          <w:spacing w:val="0"/>
          <w:w w:val="100"/>
          <w:position w:val="0"/>
          <w:shd w:val="clear" w:color="auto" w:fill="auto"/>
          <w:lang w:val="ru-RU" w:eastAsia="ru-RU" w:bidi="ru-RU"/>
        </w:rPr>
        <w:t>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pPr>
        <w:pStyle w:val="Style15"/>
        <w:keepNext w:val="0"/>
        <w:keepLines w:val="0"/>
        <w:widowControl w:val="0"/>
        <w:numPr>
          <w:ilvl w:val="0"/>
          <w:numId w:val="7"/>
        </w:numPr>
        <w:shd w:val="clear" w:color="auto" w:fill="auto"/>
        <w:tabs>
          <w:tab w:pos="1057"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Комиссия Амурского УФАС России полагает необходимым отметить, что законодательством предусмотрена обязанность заказчиков использовать КТРУ при описании закупаемых товаров, работ, услуг.</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На официальном сайте Единой информационной системы в сфере закупок \у\у\у./акирк1.доу.ги в разделе рассматриваемой закупки Заказчиком в извещении установлен код ОКПД 31.01.11.129 «Шкафы металлические прочие».</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Из каталога товаров, работ, услуг для обеспечения государственных и муниципальных нужд следует, что код ОКПД 31.01.11.129 имеется КТРУ действующие на момент проведения закупки.</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Таким образом, заказчиком - ФКУ ИК-8 УФСИН России по Амурской области в нарушение требований части 6 статьи 23, пункта 5 части 1 статьи 42 Закона о контрактной системе не соблюдены требования по описанию объекта закупки в части неприменения КТРУ.</w:t>
      </w:r>
    </w:p>
    <w:p>
      <w:pPr>
        <w:pStyle w:val="Style15"/>
        <w:keepNext w:val="0"/>
        <w:keepLines w:val="0"/>
        <w:widowControl w:val="0"/>
        <w:shd w:val="clear" w:color="auto" w:fill="auto"/>
        <w:bidi w:val="0"/>
        <w:spacing w:before="0" w:after="260" w:line="240" w:lineRule="auto"/>
        <w:ind w:left="0" w:right="0" w:firstLine="760"/>
        <w:jc w:val="both"/>
      </w:pPr>
      <w:r>
        <w:rPr>
          <w:color w:val="000000"/>
          <w:spacing w:val="0"/>
          <w:w w:val="100"/>
          <w:position w:val="0"/>
          <w:shd w:val="clear" w:color="auto" w:fill="auto"/>
          <w:lang w:val="ru-RU" w:eastAsia="ru-RU" w:bidi="ru-RU"/>
        </w:rPr>
        <w:t>Рассмотрев жалобу ООО «Техноимпорт» руководствуясь пунктом 1 части 3, части 15 статьи 99, части 8 статьи 106 Закона о контрактной системе,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Комиссия Амурского УФАС России приняла</w:t>
      </w:r>
    </w:p>
    <w:p>
      <w:pPr>
        <w:pStyle w:val="Style15"/>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 Е Ш Е Н И Е:</w:t>
      </w:r>
    </w:p>
    <w:p>
      <w:pPr>
        <w:pStyle w:val="Style15"/>
        <w:keepNext w:val="0"/>
        <w:keepLines w:val="0"/>
        <w:widowControl w:val="0"/>
        <w:numPr>
          <w:ilvl w:val="0"/>
          <w:numId w:val="9"/>
        </w:numPr>
        <w:shd w:val="clear" w:color="auto" w:fill="auto"/>
        <w:tabs>
          <w:tab w:pos="1009"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Признать жалобу общества с ограниченной ответственностью «Техноимпорт» обоснованной в части.</w:t>
      </w:r>
    </w:p>
    <w:p>
      <w:pPr>
        <w:pStyle w:val="Style15"/>
        <w:keepNext w:val="0"/>
        <w:keepLines w:val="0"/>
        <w:widowControl w:val="0"/>
        <w:numPr>
          <w:ilvl w:val="0"/>
          <w:numId w:val="9"/>
        </w:numPr>
        <w:shd w:val="clear" w:color="auto" w:fill="auto"/>
        <w:tabs>
          <w:tab w:pos="1018"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Признать в действиях государственного заказчика - Федерального казенного учреждения «Исправительная колония № 8 управления федеральной службы исполнения наказаний по Амурской области» нарушение части 6 статьи 23, части 2 статьи 33, пункта 5 части 1 статьи 42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15"/>
        <w:keepNext w:val="0"/>
        <w:keepLines w:val="0"/>
        <w:widowControl w:val="0"/>
        <w:numPr>
          <w:ilvl w:val="0"/>
          <w:numId w:val="9"/>
        </w:numPr>
        <w:shd w:val="clear" w:color="auto" w:fill="auto"/>
        <w:tabs>
          <w:tab w:pos="1014" w:val="left"/>
        </w:tabs>
        <w:bidi w:val="0"/>
        <w:spacing w:before="0" w:after="260" w:line="240" w:lineRule="auto"/>
        <w:ind w:left="0" w:right="0" w:firstLine="760"/>
        <w:jc w:val="both"/>
      </w:pPr>
      <w:r>
        <w:rPr>
          <w:color w:val="000000"/>
          <w:spacing w:val="0"/>
          <w:w w:val="100"/>
          <w:position w:val="0"/>
          <w:shd w:val="clear" w:color="auto" w:fill="auto"/>
          <w:lang w:val="ru-RU" w:eastAsia="ru-RU" w:bidi="ru-RU"/>
        </w:rPr>
        <w:t>Выдать заказчику предписание об устранении допущенного нарушения законодательства Российской Федерации о контрактной системе.</w:t>
      </w:r>
      <w:r>
        <w:br w:type="page"/>
      </w:r>
    </w:p>
    <w:p>
      <w:pPr>
        <w:pStyle w:val="Style15"/>
        <w:keepNext w:val="0"/>
        <w:keepLines w:val="0"/>
        <w:widowControl w:val="0"/>
        <w:numPr>
          <w:ilvl w:val="0"/>
          <w:numId w:val="9"/>
        </w:numPr>
        <w:shd w:val="clear" w:color="auto" w:fill="auto"/>
        <w:tabs>
          <w:tab w:pos="1088" w:val="left"/>
        </w:tabs>
        <w:bidi w:val="0"/>
        <w:spacing w:before="0" w:after="260" w:line="240" w:lineRule="auto"/>
        <w:ind w:left="0" w:right="0" w:firstLine="720"/>
        <w:jc w:val="left"/>
      </w:pPr>
      <w:r>
        <w:rPr>
          <w:color w:val="000000"/>
          <w:spacing w:val="0"/>
          <w:w w:val="100"/>
          <w:position w:val="0"/>
          <w:shd w:val="clear" w:color="auto" w:fill="auto"/>
          <w:lang w:val="ru-RU" w:eastAsia="ru-RU" w:bidi="ru-RU"/>
        </w:rPr>
        <w:t>Передать материалы дела должностному лицу Амурского УФАС России для рассмотрения вопроса о возбуждения административного производства.</w:t>
      </w:r>
    </w:p>
    <w:p>
      <w:pPr>
        <w:pStyle w:val="Style15"/>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Решение может быть обжаловано в Арбитражный суд Амурской области в течение</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трех месяцев со дня его принятия.</w:t>
      </w:r>
    </w:p>
    <w:p>
      <w:pPr>
        <w:widowControl w:val="0"/>
        <w:spacing w:line="1" w:lineRule="exact"/>
      </w:pPr>
      <w:r>
        <mc:AlternateContent>
          <mc:Choice Requires="wps">
            <w:drawing>
              <wp:anchor distT="347345" distB="0" distL="0" distR="0" simplePos="0" relativeHeight="125829378" behindDoc="0" locked="0" layoutInCell="1" allowOverlap="1">
                <wp:simplePos x="0" y="0"/>
                <wp:positionH relativeFrom="page">
                  <wp:posOffset>741045</wp:posOffset>
                </wp:positionH>
                <wp:positionV relativeFrom="paragraph">
                  <wp:posOffset>347345</wp:posOffset>
                </wp:positionV>
                <wp:extent cx="1700530" cy="210185"/>
                <wp:wrapTopAndBottom/>
                <wp:docPr id="7" name="Shape 7"/>
                <a:graphic xmlns:a="http://schemas.openxmlformats.org/drawingml/2006/main">
                  <a:graphicData uri="http://schemas.microsoft.com/office/word/2010/wordprocessingShape">
                    <wps:wsp>
                      <wps:cNvSpPr txBox="1"/>
                      <wps:spPr>
                        <a:xfrm>
                          <a:ext cx="1700530" cy="21018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8.350000000000001pt;margin-top:27.350000000000001pt;width:133.90000000000001pt;height:16.550000000000001pt;z-index:-125829375;mso-wrap-distance-left:0;mso-wrap-distance-top:27.350000000000001pt;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0" distB="20955" distL="0" distR="1786255" simplePos="0" relativeHeight="125829380" behindDoc="0" locked="0" layoutInCell="1" allowOverlap="1">
            <wp:simplePos x="0" y="0"/>
            <wp:positionH relativeFrom="page">
              <wp:posOffset>2661285</wp:posOffset>
            </wp:positionH>
            <wp:positionV relativeFrom="paragraph">
              <wp:posOffset>0</wp:posOffset>
            </wp:positionV>
            <wp:extent cx="353695" cy="53657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3118485</wp:posOffset>
                </wp:positionH>
                <wp:positionV relativeFrom="paragraph">
                  <wp:posOffset>402590</wp:posOffset>
                </wp:positionV>
                <wp:extent cx="1280160" cy="100330"/>
                <wp:wrapNone/>
                <wp:docPr id="11" name="Shape 11"/>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7" type="#_x0000_t202" style="position:absolute;margin-left:245.55000000000001pt;margin-top:31.699999999999999pt;width:100.8pt;height:7.9000000000000004pt;z-index:251657729;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3075940</wp:posOffset>
                </wp:positionH>
                <wp:positionV relativeFrom="paragraph">
                  <wp:posOffset>88265</wp:posOffset>
                </wp:positionV>
                <wp:extent cx="1722120" cy="255905"/>
                <wp:wrapNone/>
                <wp:docPr id="13" name="Shape 1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39" type="#_x0000_t202" style="position:absolute;margin-left:242.20000000000002pt;margin-top:6.9500000000000002pt;width:135.59999999999999pt;height:20.150000000000002pt;z-index:251657731;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p>
    <w:p>
      <w:pPr>
        <w:widowControl w:val="0"/>
        <w:spacing w:line="1" w:lineRule="exact"/>
      </w:pPr>
      <w:r>
        <mc:AlternateContent>
          <mc:Choice Requires="wps">
            <w:drawing>
              <wp:anchor distT="0" distB="0" distL="0" distR="0" simplePos="0" relativeHeight="125829381" behindDoc="0" locked="0" layoutInCell="1" allowOverlap="1">
                <wp:simplePos x="0" y="0"/>
                <wp:positionH relativeFrom="page">
                  <wp:posOffset>2670175</wp:posOffset>
                </wp:positionH>
                <wp:positionV relativeFrom="paragraph">
                  <wp:posOffset>0</wp:posOffset>
                </wp:positionV>
                <wp:extent cx="2133600" cy="298450"/>
                <wp:wrapTopAndBottom/>
                <wp:docPr id="15" name="Shape 15"/>
                <a:graphic xmlns:a="http://schemas.openxmlformats.org/drawingml/2006/main">
                  <a:graphicData uri="http://schemas.microsoft.com/office/word/2010/wordprocessingShape">
                    <wps:wsp>
                      <wps:cNvSpPr txBox="1"/>
                      <wps:spPr>
                        <a:xfrm>
                          <a:ext cx="2133600" cy="2984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222222"/>
                                <w:spacing w:val="0"/>
                                <w:w w:val="100"/>
                                <w:position w:val="0"/>
                                <w:sz w:val="12"/>
                                <w:szCs w:val="12"/>
                                <w:shd w:val="clear" w:color="auto" w:fill="auto"/>
                                <w:lang w:val="ru-RU" w:eastAsia="ru-RU" w:bidi="ru-RU"/>
                              </w:rPr>
                              <w:t xml:space="preserve">Кому </w:t>
                            </w:r>
                            <w:r>
                              <w:rPr>
                                <w:rFonts w:ascii="Arial" w:eastAsia="Arial" w:hAnsi="Arial" w:cs="Arial"/>
                                <w:color w:val="6A6A6A"/>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Парнищева Марина Михайловна</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525252"/>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222222"/>
                                <w:spacing w:val="0"/>
                                <w:w w:val="100"/>
                                <w:position w:val="0"/>
                                <w:sz w:val="12"/>
                                <w:szCs w:val="12"/>
                                <w:shd w:val="clear" w:color="auto" w:fill="auto"/>
                                <w:lang w:val="ru-RU" w:eastAsia="ru-RU" w:bidi="ru-RU"/>
                              </w:rPr>
                              <w:t>78С8СЕА2ВЕ2658А4665639ОЕА268ОВ2С</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6A6A6A"/>
                                <w:spacing w:val="0"/>
                                <w:w w:val="100"/>
                                <w:position w:val="0"/>
                                <w:sz w:val="12"/>
                                <w:szCs w:val="12"/>
                                <w:shd w:val="clear" w:color="auto" w:fill="auto"/>
                                <w:lang w:val="ru-RU" w:eastAsia="ru-RU" w:bidi="ru-RU"/>
                              </w:rPr>
                              <w:t xml:space="preserve">Действителен </w:t>
                            </w:r>
                            <w:r>
                              <w:rPr>
                                <w:rFonts w:ascii="Arial" w:eastAsia="Arial" w:hAnsi="Arial" w:cs="Arial"/>
                                <w:color w:val="525252"/>
                                <w:spacing w:val="0"/>
                                <w:w w:val="100"/>
                                <w:position w:val="0"/>
                                <w:sz w:val="12"/>
                                <w:szCs w:val="12"/>
                                <w:shd w:val="clear" w:color="auto" w:fill="auto"/>
                                <w:lang w:val="ru-RU" w:eastAsia="ru-RU" w:bidi="ru-RU"/>
                              </w:rPr>
                              <w:t xml:space="preserve">с 12.08.2024 </w:t>
                            </w:r>
                            <w:r>
                              <w:rPr>
                                <w:rFonts w:ascii="Arial" w:eastAsia="Arial" w:hAnsi="Arial" w:cs="Arial"/>
                                <w:color w:val="000000"/>
                                <w:spacing w:val="0"/>
                                <w:w w:val="100"/>
                                <w:position w:val="0"/>
                                <w:sz w:val="12"/>
                                <w:szCs w:val="12"/>
                                <w:shd w:val="clear" w:color="auto" w:fill="auto"/>
                                <w:lang w:val="ru-RU" w:eastAsia="ru-RU" w:bidi="ru-RU"/>
                              </w:rPr>
                              <w:t xml:space="preserve">по </w:t>
                            </w:r>
                            <w:r>
                              <w:rPr>
                                <w:rFonts w:ascii="Arial" w:eastAsia="Arial" w:hAnsi="Arial" w:cs="Arial"/>
                                <w:color w:val="6A6A6A"/>
                                <w:spacing w:val="0"/>
                                <w:w w:val="100"/>
                                <w:position w:val="0"/>
                                <w:sz w:val="12"/>
                                <w:szCs w:val="12"/>
                                <w:shd w:val="clear" w:color="auto" w:fill="auto"/>
                                <w:lang w:val="ru-RU" w:eastAsia="ru-RU" w:bidi="ru-RU"/>
                              </w:rPr>
                              <w:t>05.11.2025</w:t>
                            </w:r>
                          </w:p>
                        </w:txbxContent>
                      </wps:txbx>
                      <wps:bodyPr lIns="0" tIns="0" rIns="0" bIns="0">
                        <a:noAutoFit/>
                      </wps:bodyPr>
                    </wps:wsp>
                  </a:graphicData>
                </a:graphic>
              </wp:anchor>
            </w:drawing>
          </mc:Choice>
          <mc:Fallback>
            <w:pict>
              <v:shape id="_x0000_s1041" type="#_x0000_t202" style="position:absolute;margin-left:210.25pt;margin-top:0;width:168.pt;height:23.5pt;z-index:-125829372;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222222"/>
                          <w:spacing w:val="0"/>
                          <w:w w:val="100"/>
                          <w:position w:val="0"/>
                          <w:sz w:val="12"/>
                          <w:szCs w:val="12"/>
                          <w:shd w:val="clear" w:color="auto" w:fill="auto"/>
                          <w:lang w:val="ru-RU" w:eastAsia="ru-RU" w:bidi="ru-RU"/>
                        </w:rPr>
                        <w:t xml:space="preserve">Кому </w:t>
                      </w:r>
                      <w:r>
                        <w:rPr>
                          <w:rFonts w:ascii="Arial" w:eastAsia="Arial" w:hAnsi="Arial" w:cs="Arial"/>
                          <w:color w:val="6A6A6A"/>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Парнищева Марина Михайловна</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525252"/>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222222"/>
                          <w:spacing w:val="0"/>
                          <w:w w:val="100"/>
                          <w:position w:val="0"/>
                          <w:sz w:val="12"/>
                          <w:szCs w:val="12"/>
                          <w:shd w:val="clear" w:color="auto" w:fill="auto"/>
                          <w:lang w:val="ru-RU" w:eastAsia="ru-RU" w:bidi="ru-RU"/>
                        </w:rPr>
                        <w:t>78С8СЕА2ВЕ2658А4665639ОЕА268ОВ2С</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6A6A6A"/>
                          <w:spacing w:val="0"/>
                          <w:w w:val="100"/>
                          <w:position w:val="0"/>
                          <w:sz w:val="12"/>
                          <w:szCs w:val="12"/>
                          <w:shd w:val="clear" w:color="auto" w:fill="auto"/>
                          <w:lang w:val="ru-RU" w:eastAsia="ru-RU" w:bidi="ru-RU"/>
                        </w:rPr>
                        <w:t xml:space="preserve">Действителен </w:t>
                      </w:r>
                      <w:r>
                        <w:rPr>
                          <w:rFonts w:ascii="Arial" w:eastAsia="Arial" w:hAnsi="Arial" w:cs="Arial"/>
                          <w:color w:val="525252"/>
                          <w:spacing w:val="0"/>
                          <w:w w:val="100"/>
                          <w:position w:val="0"/>
                          <w:sz w:val="12"/>
                          <w:szCs w:val="12"/>
                          <w:shd w:val="clear" w:color="auto" w:fill="auto"/>
                          <w:lang w:val="ru-RU" w:eastAsia="ru-RU" w:bidi="ru-RU"/>
                        </w:rPr>
                        <w:t xml:space="preserve">с 12.08.2024 </w:t>
                      </w:r>
                      <w:r>
                        <w:rPr>
                          <w:rFonts w:ascii="Arial" w:eastAsia="Arial" w:hAnsi="Arial" w:cs="Arial"/>
                          <w:color w:val="000000"/>
                          <w:spacing w:val="0"/>
                          <w:w w:val="100"/>
                          <w:position w:val="0"/>
                          <w:sz w:val="12"/>
                          <w:szCs w:val="12"/>
                          <w:shd w:val="clear" w:color="auto" w:fill="auto"/>
                          <w:lang w:val="ru-RU" w:eastAsia="ru-RU" w:bidi="ru-RU"/>
                        </w:rPr>
                        <w:t xml:space="preserve">по </w:t>
                      </w:r>
                      <w:r>
                        <w:rPr>
                          <w:rFonts w:ascii="Arial" w:eastAsia="Arial" w:hAnsi="Arial" w:cs="Arial"/>
                          <w:color w:val="6A6A6A"/>
                          <w:spacing w:val="0"/>
                          <w:w w:val="100"/>
                          <w:position w:val="0"/>
                          <w:sz w:val="12"/>
                          <w:szCs w:val="12"/>
                          <w:shd w:val="clear" w:color="auto" w:fill="auto"/>
                          <w:lang w:val="ru-RU" w:eastAsia="ru-RU" w:bidi="ru-RU"/>
                        </w:rPr>
                        <w:t>05.11.2025</w:t>
                      </w:r>
                    </w:p>
                  </w:txbxContent>
                </v:textbox>
                <w10:wrap type="topAndBottom" anchorx="page"/>
              </v:shape>
            </w:pict>
          </mc:Fallback>
        </mc:AlternateContent>
      </w:r>
      <w:r>
        <mc:AlternateContent>
          <mc:Choice Requires="wps">
            <w:drawing>
              <wp:anchor distT="0" distB="63500" distL="0" distR="0" simplePos="0" relativeHeight="125829383" behindDoc="0" locked="0" layoutInCell="1" allowOverlap="1">
                <wp:simplePos x="0" y="0"/>
                <wp:positionH relativeFrom="page">
                  <wp:posOffset>5940425</wp:posOffset>
                </wp:positionH>
                <wp:positionV relativeFrom="paragraph">
                  <wp:posOffset>0</wp:posOffset>
                </wp:positionV>
                <wp:extent cx="1252855" cy="234950"/>
                <wp:wrapTopAndBottom/>
                <wp:docPr id="17" name="Shape 17"/>
                <a:graphic xmlns:a="http://schemas.openxmlformats.org/drawingml/2006/main">
                  <a:graphicData uri="http://schemas.microsoft.com/office/word/2010/wordprocessingShape">
                    <wps:wsp>
                      <wps:cNvSpPr txBox="1"/>
                      <wps:spPr>
                        <a:xfrm>
                          <a:ext cx="1252855" cy="23495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М.М. Парнищева</w:t>
                            </w:r>
                          </w:p>
                        </w:txbxContent>
                      </wps:txbx>
                      <wps:bodyPr wrap="none" lIns="0" tIns="0" rIns="0" bIns="0">
                        <a:noAutoFit/>
                      </wps:bodyPr>
                    </wps:wsp>
                  </a:graphicData>
                </a:graphic>
              </wp:anchor>
            </w:drawing>
          </mc:Choice>
          <mc:Fallback>
            <w:pict>
              <v:shape id="_x0000_s1043" type="#_x0000_t202" style="position:absolute;margin-left:467.75pt;margin-top:0;width:98.650000000000006pt;height:18.5pt;z-index:-125829370;mso-wrap-distance-left:0;mso-wrap-distance-right:0;mso-wrap-distance-bottom:5.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М.М. Парнищева</w:t>
                      </w:r>
                    </w:p>
                  </w:txbxContent>
                </v:textbox>
                <w10:wrap type="topAndBottom" anchorx="page"/>
              </v:shape>
            </w:pict>
          </mc:Fallback>
        </mc:AlternateContent>
      </w:r>
    </w:p>
    <w:p>
      <w:pPr>
        <w:widowControl w:val="0"/>
        <w:spacing w:line="1" w:lineRule="exact"/>
        <w:sectPr>
          <w:footnotePr>
            <w:pos w:val="pageBottom"/>
            <w:numFmt w:val="decimal"/>
            <w:numRestart w:val="continuous"/>
          </w:footnotePr>
          <w:type w:val="continuous"/>
          <w:pgSz w:w="11900" w:h="16840"/>
          <w:pgMar w:top="778" w:right="541" w:bottom="720" w:left="1102" w:header="0" w:footer="3" w:gutter="0"/>
          <w:cols w:space="720"/>
          <w:noEndnote/>
          <w:rtlGutter w:val="0"/>
          <w:docGrid w:linePitch="360"/>
        </w:sectPr>
      </w:pPr>
      <w:r>
        <mc:AlternateContent>
          <mc:Choice Requires="wps">
            <w:drawing>
              <wp:anchor distT="293370" distB="151765" distL="0" distR="0" simplePos="0" relativeHeight="125829385" behindDoc="0" locked="0" layoutInCell="1" allowOverlap="1">
                <wp:simplePos x="0" y="0"/>
                <wp:positionH relativeFrom="page">
                  <wp:posOffset>737870</wp:posOffset>
                </wp:positionH>
                <wp:positionV relativeFrom="paragraph">
                  <wp:posOffset>293370</wp:posOffset>
                </wp:positionV>
                <wp:extent cx="1246505" cy="231775"/>
                <wp:wrapTopAndBottom/>
                <wp:docPr id="19" name="Shape 19"/>
                <a:graphic xmlns:a="http://schemas.openxmlformats.org/drawingml/2006/main">
                  <a:graphicData uri="http://schemas.microsoft.com/office/word/2010/wordprocessingShape">
                    <wps:wsp>
                      <wps:cNvSpPr txBox="1"/>
                      <wps:spPr>
                        <a:xfrm>
                          <a:ext cx="1246505" cy="23177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5" type="#_x0000_t202" style="position:absolute;margin-left:58.100000000000001pt;margin-top:23.100000000000001pt;width:98.150000000000006pt;height:18.25pt;z-index:-125829368;mso-wrap-distance-left:0;mso-wrap-distance-top:23.100000000000001pt;mso-wrap-distance-right:0;mso-wrap-distance-bottom:11.95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w:drawing>
          <wp:anchor distT="12700" distB="0" distL="0" distR="1786255" simplePos="0" relativeHeight="125829387" behindDoc="0" locked="0" layoutInCell="1" allowOverlap="1">
            <wp:simplePos x="0" y="0"/>
            <wp:positionH relativeFrom="page">
              <wp:posOffset>2624455</wp:posOffset>
            </wp:positionH>
            <wp:positionV relativeFrom="paragraph">
              <wp:posOffset>12700</wp:posOffset>
            </wp:positionV>
            <wp:extent cx="389890" cy="664210"/>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1"/>
                    <a:stretch/>
                  </pic:blipFill>
                  <pic:spPr>
                    <a:xfrm>
                      <a:ext cx="389890" cy="6642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3118485</wp:posOffset>
                </wp:positionH>
                <wp:positionV relativeFrom="paragraph">
                  <wp:posOffset>542925</wp:posOffset>
                </wp:positionV>
                <wp:extent cx="1283335" cy="103505"/>
                <wp:wrapNone/>
                <wp:docPr id="23" name="Shape 23"/>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45.55000000000001pt;margin-top:42.75pt;width:101.05pt;height:8.1500000000000004pt;z-index:251657733;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3075305</wp:posOffset>
                </wp:positionH>
                <wp:positionV relativeFrom="paragraph">
                  <wp:posOffset>232410</wp:posOffset>
                </wp:positionV>
                <wp:extent cx="1722120" cy="255905"/>
                <wp:wrapNone/>
                <wp:docPr id="25" name="Shape 2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2.15000000000001pt;margin-top:18.300000000000001pt;width:135.59999999999999pt;height:20.150000000000002pt;z-index:251657735;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293370" distB="151765" distL="0" distR="0" simplePos="0" relativeHeight="125829388" behindDoc="0" locked="0" layoutInCell="1" allowOverlap="1">
                <wp:simplePos x="0" y="0"/>
                <wp:positionH relativeFrom="page">
                  <wp:posOffset>6102350</wp:posOffset>
                </wp:positionH>
                <wp:positionV relativeFrom="paragraph">
                  <wp:posOffset>293370</wp:posOffset>
                </wp:positionV>
                <wp:extent cx="1090930" cy="231775"/>
                <wp:wrapTopAndBottom/>
                <wp:docPr id="27" name="Shape 27"/>
                <a:graphic xmlns:a="http://schemas.openxmlformats.org/drawingml/2006/main">
                  <a:graphicData uri="http://schemas.microsoft.com/office/word/2010/wordprocessingShape">
                    <wps:wsp>
                      <wps:cNvSpPr txBox="1"/>
                      <wps:spPr>
                        <a:xfrm>
                          <a:ext cx="1090930" cy="23177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Е.В. Стрелкова</w:t>
                            </w:r>
                          </w:p>
                        </w:txbxContent>
                      </wps:txbx>
                      <wps:bodyPr wrap="none" lIns="0" tIns="0" rIns="0" bIns="0">
                        <a:noAutoFit/>
                      </wps:bodyPr>
                    </wps:wsp>
                  </a:graphicData>
                </a:graphic>
              </wp:anchor>
            </w:drawing>
          </mc:Choice>
          <mc:Fallback>
            <w:pict>
              <v:shape id="_x0000_s1053" type="#_x0000_t202" style="position:absolute;margin-left:480.5pt;margin-top:23.100000000000001pt;width:85.900000000000006pt;height:18.25pt;z-index:-125829365;mso-wrap-distance-left:0;mso-wrap-distance-top:23.100000000000001pt;mso-wrap-distance-right:0;mso-wrap-distance-bottom:11.95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Е.В. Стрелкова</w:t>
                      </w:r>
                    </w:p>
                  </w:txbxContent>
                </v:textbox>
                <w10:wrap type="topAndBottom" anchorx="page"/>
              </v:shape>
            </w:pict>
          </mc:Fallback>
        </mc:AlternateContent>
      </w:r>
    </w:p>
    <w:p>
      <w:pPr>
        <w:pStyle w:val="Style2"/>
        <w:keepNext w:val="0"/>
        <w:keepLines w:val="0"/>
        <w:widowControl w:val="0"/>
        <w:shd w:val="clear" w:color="auto" w:fill="auto"/>
        <w:bidi w:val="0"/>
        <w:spacing w:before="0" w:after="0" w:line="240" w:lineRule="auto"/>
        <w:ind w:left="3100" w:right="0" w:firstLine="0"/>
        <w:jc w:val="left"/>
        <w:rPr>
          <w:sz w:val="11"/>
          <w:szCs w:val="11"/>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525252"/>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Стрелкова Елизавета Викторовна</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525252"/>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525252"/>
          <w:spacing w:val="0"/>
          <w:w w:val="100"/>
          <w:position w:val="0"/>
          <w:sz w:val="12"/>
          <w:szCs w:val="12"/>
          <w:shd w:val="clear" w:color="auto" w:fill="auto"/>
          <w:lang w:val="ru-RU" w:eastAsia="ru-RU" w:bidi="ru-RU"/>
        </w:rPr>
        <w:t>5ЕС860Е482А17Е0С86Е8СС6991</w:t>
      </w:r>
      <w:r>
        <w:rPr>
          <w:rFonts w:ascii="Arial" w:eastAsia="Arial" w:hAnsi="Arial" w:cs="Arial"/>
          <w:color w:val="222222"/>
          <w:spacing w:val="0"/>
          <w:w w:val="100"/>
          <w:position w:val="0"/>
          <w:sz w:val="12"/>
          <w:szCs w:val="12"/>
          <w:shd w:val="clear" w:color="auto" w:fill="auto"/>
          <w:lang w:val="ru-RU" w:eastAsia="ru-RU" w:bidi="ru-RU"/>
        </w:rPr>
        <w:t>СЗА2Е1</w:t>
      </w:r>
    </w:p>
    <w:p>
      <w:pPr>
        <w:pStyle w:val="Style2"/>
        <w:keepNext w:val="0"/>
        <w:keepLines w:val="0"/>
        <w:widowControl w:val="0"/>
        <w:pBdr>
          <w:bottom w:val="single" w:sz="4" w:space="0" w:color="auto"/>
        </w:pBdr>
        <w:shd w:val="clear" w:color="auto" w:fill="auto"/>
        <w:bidi w:val="0"/>
        <w:spacing w:before="0" w:after="400" w:line="240" w:lineRule="auto"/>
        <w:ind w:left="3100" w:right="0" w:firstLine="0"/>
        <w:jc w:val="left"/>
        <w:rPr>
          <w:sz w:val="12"/>
          <w:szCs w:val="12"/>
        </w:rPr>
      </w:pPr>
      <w:r>
        <mc:AlternateContent>
          <mc:Choice Requires="wps">
            <w:drawing>
              <wp:anchor distT="0" distB="0" distL="114300" distR="114300" simplePos="0" relativeHeight="125829390" behindDoc="0" locked="0" layoutInCell="1" allowOverlap="1">
                <wp:simplePos x="0" y="0"/>
                <wp:positionH relativeFrom="page">
                  <wp:posOffset>6141720</wp:posOffset>
                </wp:positionH>
                <wp:positionV relativeFrom="paragraph">
                  <wp:posOffset>228600</wp:posOffset>
                </wp:positionV>
                <wp:extent cx="1045210" cy="234950"/>
                <wp:wrapSquare wrapText="left"/>
                <wp:docPr id="29" name="Shape 29"/>
                <a:graphic xmlns:a="http://schemas.openxmlformats.org/drawingml/2006/main">
                  <a:graphicData uri="http://schemas.microsoft.com/office/word/2010/wordprocessingShape">
                    <wps:wsp>
                      <wps:cNvSpPr txBox="1"/>
                      <wps:spPr>
                        <a:xfrm>
                          <a:ext cx="1045210" cy="23495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И.И. Левченко</w:t>
                            </w:r>
                          </w:p>
                        </w:txbxContent>
                      </wps:txbx>
                      <wps:bodyPr wrap="none" lIns="0" tIns="0" rIns="0" bIns="0">
                        <a:noAutoFit/>
                      </wps:bodyPr>
                    </wps:wsp>
                  </a:graphicData>
                </a:graphic>
              </wp:anchor>
            </w:drawing>
          </mc:Choice>
          <mc:Fallback>
            <w:pict>
              <v:shape id="_x0000_s1055" type="#_x0000_t202" style="position:absolute;margin-left:483.60000000000002pt;margin-top:18.pt;width:82.299999999999997pt;height:18.5pt;z-index:-125829363;mso-wrap-distance-left:9.pt;mso-wrap-distance-right: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И.И. Левченко</w:t>
                      </w:r>
                    </w:p>
                  </w:txbxContent>
                </v:textbox>
                <w10:wrap type="square" side="left" anchorx="page"/>
              </v:shape>
            </w:pict>
          </mc:Fallback>
        </mc:AlternateContent>
      </w:r>
      <w:r>
        <w:rPr>
          <w:rFonts w:ascii="Arial" w:eastAsia="Arial" w:hAnsi="Arial" w:cs="Arial"/>
          <w:color w:val="525252"/>
          <w:spacing w:val="0"/>
          <w:w w:val="100"/>
          <w:position w:val="0"/>
          <w:sz w:val="12"/>
          <w:szCs w:val="12"/>
          <w:shd w:val="clear" w:color="auto" w:fill="auto"/>
          <w:lang w:val="ru-RU" w:eastAsia="ru-RU" w:bidi="ru-RU"/>
        </w:rPr>
        <w:t xml:space="preserve">Действителен </w:t>
      </w:r>
      <w:r>
        <w:rPr>
          <w:rFonts w:ascii="Arial" w:eastAsia="Arial" w:hAnsi="Arial" w:cs="Arial"/>
          <w:color w:val="222222"/>
          <w:spacing w:val="0"/>
          <w:w w:val="100"/>
          <w:position w:val="0"/>
          <w:sz w:val="12"/>
          <w:szCs w:val="12"/>
          <w:shd w:val="clear" w:color="auto" w:fill="auto"/>
          <w:lang w:val="ru-RU" w:eastAsia="ru-RU" w:bidi="ru-RU"/>
        </w:rPr>
        <w:t xml:space="preserve">с </w:t>
      </w:r>
      <w:r>
        <w:rPr>
          <w:rFonts w:ascii="Arial" w:eastAsia="Arial" w:hAnsi="Arial" w:cs="Arial"/>
          <w:color w:val="525252"/>
          <w:spacing w:val="0"/>
          <w:w w:val="100"/>
          <w:position w:val="0"/>
          <w:sz w:val="12"/>
          <w:szCs w:val="12"/>
          <w:shd w:val="clear" w:color="auto" w:fill="auto"/>
          <w:lang w:val="ru-RU" w:eastAsia="ru-RU" w:bidi="ru-RU"/>
        </w:rPr>
        <w:t xml:space="preserve">04.10.2023 </w:t>
      </w:r>
      <w:r>
        <w:rPr>
          <w:rFonts w:ascii="Arial" w:eastAsia="Arial" w:hAnsi="Arial" w:cs="Arial"/>
          <w:color w:val="8C8C8C"/>
          <w:spacing w:val="0"/>
          <w:w w:val="100"/>
          <w:position w:val="0"/>
          <w:sz w:val="12"/>
          <w:szCs w:val="12"/>
          <w:shd w:val="clear" w:color="auto" w:fill="auto"/>
          <w:lang w:val="ru-RU" w:eastAsia="ru-RU" w:bidi="ru-RU"/>
        </w:rPr>
        <w:t xml:space="preserve">по </w:t>
      </w:r>
      <w:r>
        <w:rPr>
          <w:rFonts w:ascii="Arial" w:eastAsia="Arial" w:hAnsi="Arial" w:cs="Arial"/>
          <w:color w:val="525252"/>
          <w:spacing w:val="0"/>
          <w:w w:val="100"/>
          <w:position w:val="0"/>
          <w:sz w:val="12"/>
          <w:szCs w:val="12"/>
          <w:shd w:val="clear" w:color="auto" w:fill="auto"/>
          <w:lang w:val="ru-RU" w:eastAsia="ru-RU" w:bidi="ru-RU"/>
        </w:rPr>
        <w:t>27.12.2024</w:t>
      </w:r>
    </w:p>
    <w:p>
      <w:pPr>
        <w:pStyle w:val="Style2"/>
        <w:keepNext w:val="0"/>
        <w:keepLines w:val="0"/>
        <w:widowControl w:val="0"/>
        <w:shd w:val="clear" w:color="auto" w:fill="auto"/>
        <w:bidi w:val="0"/>
        <w:spacing w:before="0" w:after="90" w:line="240" w:lineRule="auto"/>
        <w:ind w:left="3740" w:right="0" w:firstLine="0"/>
        <w:jc w:val="left"/>
        <w:rPr>
          <w:sz w:val="11"/>
          <w:szCs w:val="11"/>
        </w:rPr>
      </w:pPr>
      <w:r>
        <w:rPr>
          <w:rFonts w:ascii="Georgia" w:eastAsia="Georgia" w:hAnsi="Georgia" w:cs="Georgia"/>
          <w:color w:val="222222"/>
          <w:spacing w:val="0"/>
          <w:w w:val="100"/>
          <w:position w:val="0"/>
          <w:sz w:val="11"/>
          <w:szCs w:val="11"/>
          <w:shd w:val="clear" w:color="auto" w:fill="auto"/>
          <w:lang w:val="ru-RU" w:eastAsia="ru-RU" w:bidi="ru-RU"/>
        </w:rPr>
        <w:t xml:space="preserve">Подлинник электронного документа, подписанного </w:t>
      </w:r>
      <w:r>
        <w:rPr>
          <w:rFonts w:ascii="Georgia" w:eastAsia="Georgia" w:hAnsi="Georgia" w:cs="Georgia"/>
          <w:color w:val="000000"/>
          <w:spacing w:val="0"/>
          <w:w w:val="100"/>
          <w:position w:val="0"/>
          <w:sz w:val="11"/>
          <w:szCs w:val="11"/>
          <w:shd w:val="clear" w:color="auto" w:fill="auto"/>
          <w:lang w:val="ru-RU" w:eastAsia="ru-RU" w:bidi="ru-RU"/>
        </w:rPr>
        <w:t xml:space="preserve">ЭП, </w:t>
      </w:r>
      <w:r>
        <w:rPr>
          <w:rFonts w:ascii="Georgia" w:eastAsia="Georgia" w:hAnsi="Georgia" w:cs="Georgia"/>
          <w:color w:val="222222"/>
          <w:spacing w:val="0"/>
          <w:w w:val="100"/>
          <w:position w:val="0"/>
          <w:sz w:val="11"/>
          <w:szCs w:val="11"/>
          <w:shd w:val="clear" w:color="auto" w:fill="auto"/>
          <w:lang w:val="ru-RU" w:eastAsia="ru-RU" w:bidi="ru-RU"/>
        </w:rPr>
        <w:t>хранится в системе электронного документооборота ФАС России</w:t>
      </w:r>
    </w:p>
    <w:p>
      <w:pPr>
        <w:pStyle w:val="Style2"/>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rPr>
          <w:sz w:val="12"/>
          <w:szCs w:val="12"/>
        </w:rPr>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p>
      <w:pPr>
        <w:pStyle w:val="Style2"/>
        <w:keepNext w:val="0"/>
        <w:keepLines w:val="0"/>
        <w:widowControl w:val="0"/>
        <w:shd w:val="clear" w:color="auto" w:fill="auto"/>
        <w:bidi w:val="0"/>
        <w:spacing w:before="0" w:after="0" w:line="240" w:lineRule="auto"/>
        <w:ind w:left="3100" w:right="0" w:firstLine="0"/>
        <w:jc w:val="left"/>
        <w:rPr>
          <w:sz w:val="11"/>
          <w:szCs w:val="11"/>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525252"/>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Левченко Иван Игоревич</w:t>
      </w:r>
    </w:p>
    <w:p>
      <w:pPr>
        <w:pStyle w:val="Style2"/>
        <w:keepNext w:val="0"/>
        <w:keepLines w:val="0"/>
        <w:widowControl w:val="0"/>
        <w:shd w:val="clear" w:color="auto" w:fill="auto"/>
        <w:bidi w:val="0"/>
        <w:spacing w:before="0" w:after="0" w:line="240" w:lineRule="auto"/>
        <w:ind w:left="3100" w:right="0" w:firstLine="0"/>
        <w:jc w:val="both"/>
        <w:rPr>
          <w:sz w:val="12"/>
          <w:szCs w:val="12"/>
        </w:rPr>
      </w:pPr>
      <w:r>
        <w:rPr>
          <w:rFonts w:ascii="Arial" w:eastAsia="Arial" w:hAnsi="Arial" w:cs="Arial"/>
          <w:color w:val="525252"/>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525252"/>
          <w:spacing w:val="0"/>
          <w:w w:val="100"/>
          <w:position w:val="0"/>
          <w:sz w:val="12"/>
          <w:szCs w:val="12"/>
          <w:shd w:val="clear" w:color="auto" w:fill="auto"/>
          <w:lang w:val="ru-RU" w:eastAsia="ru-RU" w:bidi="ru-RU"/>
        </w:rPr>
        <w:t>5Е62СА182Е136О74ООСО8641С89В8Е7Е</w:t>
      </w:r>
    </w:p>
    <w:p>
      <w:pPr>
        <w:pStyle w:val="Style2"/>
        <w:keepNext w:val="0"/>
        <w:keepLines w:val="0"/>
        <w:widowControl w:val="0"/>
        <w:pBdr>
          <w:bottom w:val="single" w:sz="4" w:space="0" w:color="auto"/>
        </w:pBdr>
        <w:shd w:val="clear" w:color="auto" w:fill="auto"/>
        <w:bidi w:val="0"/>
        <w:spacing w:before="0" w:after="7200" w:line="240" w:lineRule="auto"/>
        <w:ind w:left="3100" w:right="0" w:firstLine="0"/>
        <w:jc w:val="both"/>
        <w:rPr>
          <w:sz w:val="12"/>
          <w:szCs w:val="12"/>
        </w:rPr>
      </w:pPr>
      <w:r>
        <w:rPr>
          <w:rFonts w:ascii="Arial" w:eastAsia="Arial" w:hAnsi="Arial" w:cs="Arial"/>
          <w:color w:val="6A6A6A"/>
          <w:spacing w:val="0"/>
          <w:w w:val="100"/>
          <w:position w:val="0"/>
          <w:sz w:val="12"/>
          <w:szCs w:val="12"/>
          <w:shd w:val="clear" w:color="auto" w:fill="auto"/>
          <w:lang w:val="ru-RU" w:eastAsia="ru-RU" w:bidi="ru-RU"/>
        </w:rPr>
        <w:t xml:space="preserve">Действителен </w:t>
      </w:r>
      <w:r>
        <w:rPr>
          <w:rFonts w:ascii="Arial" w:eastAsia="Arial" w:hAnsi="Arial" w:cs="Arial"/>
          <w:color w:val="525252"/>
          <w:spacing w:val="0"/>
          <w:w w:val="100"/>
          <w:position w:val="0"/>
          <w:sz w:val="12"/>
          <w:szCs w:val="12"/>
          <w:shd w:val="clear" w:color="auto" w:fill="auto"/>
          <w:lang w:val="ru-RU" w:eastAsia="ru-RU" w:bidi="ru-RU"/>
        </w:rPr>
        <w:t xml:space="preserve">с 07.06.2024 </w:t>
      </w:r>
      <w:r>
        <w:rPr>
          <w:rFonts w:ascii="Arial" w:eastAsia="Arial" w:hAnsi="Arial" w:cs="Arial"/>
          <w:color w:val="6A6A6A"/>
          <w:spacing w:val="0"/>
          <w:w w:val="100"/>
          <w:position w:val="0"/>
          <w:sz w:val="12"/>
          <w:szCs w:val="12"/>
          <w:shd w:val="clear" w:color="auto" w:fill="auto"/>
          <w:lang w:val="ru-RU" w:eastAsia="ru-RU" w:bidi="ru-RU"/>
        </w:rPr>
        <w:t>по 31.08.2025</w:t>
      </w:r>
    </w:p>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Исп.Левченко И.И.</w:t>
      </w:r>
    </w:p>
    <w:p>
      <w:pPr>
        <w:pStyle w:val="Style2"/>
        <w:keepNext w:val="0"/>
        <w:keepLines w:val="0"/>
        <w:widowControl w:val="0"/>
        <w:shd w:val="clear" w:color="auto" w:fill="auto"/>
        <w:bidi w:val="0"/>
        <w:spacing w:before="0" w:after="6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тел.8(4162)37-21-73; вн. 028-217</w:t>
      </w:r>
    </w:p>
    <w:sectPr>
      <w:footnotePr>
        <w:pos w:val="pageBottom"/>
        <w:numFmt w:val="decimal"/>
        <w:numRestart w:val="continuous"/>
      </w:footnotePr>
      <w:type w:val="continuous"/>
      <w:pgSz w:w="11900" w:h="16840"/>
      <w:pgMar w:top="1666" w:right="550" w:bottom="128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9941560</wp:posOffset>
              </wp:positionV>
              <wp:extent cx="646430" cy="100330"/>
              <wp:wrapNone/>
              <wp:docPr id="3" name="Shape 3"/>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2024-4818</w:t>
                          </w:r>
                        </w:p>
                      </w:txbxContent>
                    </wps:txbx>
                    <wps:bodyPr wrap="none" lIns="0" tIns="0" rIns="0" bIns="0">
                      <a:spAutoFit/>
                    </wps:bodyPr>
                  </wps:wsp>
                </a:graphicData>
              </a:graphic>
            </wp:anchor>
          </w:drawing>
        </mc:Choice>
        <mc:Fallback>
          <w:pict>
            <v:shape id="_x0000_s1029" type="#_x0000_t202" style="position:absolute;margin-left:57.pt;margin-top:782.80000000000007pt;width:50.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2024-4818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9857740</wp:posOffset>
              </wp:positionV>
              <wp:extent cx="646430" cy="100330"/>
              <wp:wrapNone/>
              <wp:docPr id="5" name="Shape 5"/>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2024-4818</w:t>
                          </w:r>
                        </w:p>
                      </w:txbxContent>
                    </wps:txbx>
                    <wps:bodyPr wrap="none" lIns="0" tIns="0" rIns="0" bIns="0">
                      <a:spAutoFit/>
                    </wps:bodyPr>
                  </wps:wsp>
                </a:graphicData>
              </a:graphic>
            </wp:anchor>
          </w:drawing>
        </mc:Choice>
        <mc:Fallback>
          <w:pict>
            <v:shape id="_x0000_s1031" type="#_x0000_t202" style="position:absolute;margin-left:57.pt;margin-top:776.20000000000005pt;width:50.8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2024-4818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3924300</wp:posOffset>
              </wp:positionH>
              <wp:positionV relativeFrom="page">
                <wp:posOffset>683260</wp:posOffset>
              </wp:positionV>
              <wp:extent cx="67310" cy="103505"/>
              <wp:wrapNone/>
              <wp:docPr id="1" name="Shape 1"/>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09.pt;margin-top:53.800000000000004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Другое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Заголовок №2_"/>
    <w:basedOn w:val="DefaultParagraphFont"/>
    <w:link w:val="Style11"/>
    <w:rPr>
      <w:rFonts w:ascii="Times New Roman" w:eastAsia="Times New Roman" w:hAnsi="Times New Roman" w:cs="Times New Roman"/>
      <w:b w:val="0"/>
      <w:bCs w:val="0"/>
      <w:i w:val="0"/>
      <w:iCs w:val="0"/>
      <w:smallCaps w:val="0"/>
      <w:strike w:val="0"/>
      <w:sz w:val="30"/>
      <w:szCs w:val="30"/>
      <w:u w:val="singl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sz w:val="26"/>
      <w:szCs w:val="26"/>
      <w:u w:val="none"/>
    </w:rPr>
  </w:style>
  <w:style w:type="character" w:customStyle="1" w:styleId="CharStyle18">
    <w:name w:val="Подпись к картинке_"/>
    <w:basedOn w:val="DefaultParagraphFont"/>
    <w:link w:val="Style17"/>
    <w:rPr>
      <w:rFonts w:ascii="Georgia" w:eastAsia="Georgia" w:hAnsi="Georgia" w:cs="Georgia"/>
      <w:b w:val="0"/>
      <w:bCs w:val="0"/>
      <w:i w:val="0"/>
      <w:iCs w:val="0"/>
      <w:smallCaps w:val="0"/>
      <w:strike w:val="0"/>
      <w:color w:val="222222"/>
      <w:sz w:val="11"/>
      <w:szCs w:val="11"/>
      <w:u w:val="none"/>
    </w:rPr>
  </w:style>
  <w:style w:type="character" w:customStyle="1" w:styleId="CharStyle29">
    <w:name w:val="Заголовок №1_"/>
    <w:basedOn w:val="DefaultParagraphFont"/>
    <w:link w:val="Style28"/>
    <w:rPr>
      <w:rFonts w:ascii="Arial" w:eastAsia="Arial" w:hAnsi="Arial" w:cs="Arial"/>
      <w:b w:val="0"/>
      <w:bCs w:val="0"/>
      <w:i w:val="0"/>
      <w:iCs w:val="0"/>
      <w:smallCaps w:val="0"/>
      <w:strike w:val="0"/>
      <w:sz w:val="38"/>
      <w:szCs w:val="38"/>
      <w:u w:val="none"/>
    </w:rPr>
  </w:style>
  <w:style w:type="paragraph" w:customStyle="1" w:styleId="Style2">
    <w:name w:val="Другое"/>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Заголовок №2"/>
    <w:basedOn w:val="Normal"/>
    <w:link w:val="CharStyle12"/>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5">
    <w:name w:val="Основной текст"/>
    <w:basedOn w:val="Normal"/>
    <w:link w:val="CharStyle16"/>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7">
    <w:name w:val="Подпись к картинке"/>
    <w:basedOn w:val="Normal"/>
    <w:link w:val="CharStyle18"/>
    <w:pPr>
      <w:widowControl w:val="0"/>
      <w:shd w:val="clear" w:color="auto" w:fill="auto"/>
    </w:pPr>
    <w:rPr>
      <w:rFonts w:ascii="Georgia" w:eastAsia="Georgia" w:hAnsi="Georgia" w:cs="Georgia"/>
      <w:b w:val="0"/>
      <w:bCs w:val="0"/>
      <w:i w:val="0"/>
      <w:iCs w:val="0"/>
      <w:smallCaps w:val="0"/>
      <w:strike w:val="0"/>
      <w:color w:val="222222"/>
      <w:sz w:val="11"/>
      <w:szCs w:val="11"/>
      <w:u w:val="none"/>
    </w:rPr>
  </w:style>
  <w:style w:type="paragraph" w:customStyle="1" w:styleId="Style28">
    <w:name w:val="Заголовок №1"/>
    <w:basedOn w:val="Normal"/>
    <w:link w:val="CharStyle29"/>
    <w:pPr>
      <w:widowControl w:val="0"/>
      <w:shd w:val="clear" w:color="auto" w:fill="auto"/>
      <w:spacing w:after="340"/>
      <w:outlineLvl w:val="0"/>
    </w:pPr>
    <w:rPr>
      <w:rFonts w:ascii="Arial" w:eastAsia="Arial" w:hAnsi="Arial" w:cs="Arial"/>
      <w:b w:val="0"/>
      <w:bCs w:val="0"/>
      <w:i w:val="0"/>
      <w:iCs w:val="0"/>
      <w:smallCaps w:val="0"/>
      <w:strike w:val="0"/>
      <w:sz w:val="38"/>
      <w:szCs w:val="3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image" Target="media/image1.jpeg"/><Relationship Id="rId10" Type="http://schemas.openxmlformats.org/officeDocument/2006/relationships/image" Target="media/image1.jpeg" TargetMode="External"/><Relationship Id="rId11" Type="http://schemas.openxmlformats.org/officeDocument/2006/relationships/image" Target="media/image2.jpeg"/><Relationship Id="rId12" Type="http://schemas.openxmlformats.org/officeDocument/2006/relationships/image" Target="media/image2.jpeg" TargetMode="External"/></Relationships>
</file>