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300" w:line="240" w:lineRule="auto"/>
        <w:ind w:left="0" w:right="0" w:firstLine="0"/>
        <w:jc w:val="center"/>
        <w:rPr>
          <w:sz w:val="72"/>
          <w:szCs w:val="72"/>
        </w:rPr>
      </w:pPr>
      <w:r>
        <w:rPr>
          <w:rFonts w:ascii="Arial" w:eastAsia="Arial" w:hAnsi="Arial" w:cs="Arial"/>
          <w:i/>
          <w:iCs/>
          <w:color w:val="476198"/>
          <w:spacing w:val="0"/>
          <w:w w:val="100"/>
          <w:position w:val="0"/>
          <w:sz w:val="72"/>
          <w:szCs w:val="72"/>
          <w:shd w:val="clear" w:color="auto" w:fill="auto"/>
          <w:lang w:val="ru-RU" w:eastAsia="ru-RU" w:bidi="ru-RU"/>
        </w:rPr>
        <w:t>ф</w:t>
      </w:r>
    </w:p>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color w:val="476198"/>
          <w:spacing w:val="0"/>
          <w:w w:val="100"/>
          <w:position w:val="0"/>
          <w:sz w:val="17"/>
          <w:szCs w:val="17"/>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after="220" w:line="240" w:lineRule="auto"/>
        <w:ind w:left="0" w:right="0" w:firstLine="0"/>
        <w:jc w:val="center"/>
        <w:rPr>
          <w:sz w:val="19"/>
          <w:szCs w:val="19"/>
        </w:rPr>
      </w:pPr>
      <w:r>
        <w:rPr>
          <w:b/>
          <w:bCs/>
          <w:color w:val="476198"/>
          <w:spacing w:val="0"/>
          <w:w w:val="100"/>
          <w:position w:val="0"/>
          <w:sz w:val="19"/>
          <w:szCs w:val="19"/>
          <w:shd w:val="clear" w:color="auto" w:fill="auto"/>
          <w:lang w:val="ru-RU" w:eastAsia="ru-RU" w:bidi="ru-RU"/>
        </w:rPr>
        <w:t>УПРАВЛЕНИЕ</w:t>
        <w:br/>
        <w:t>Федеральной антимонопольной службы</w:t>
        <w:br/>
        <w:t>по Амурской области</w:t>
      </w:r>
    </w:p>
    <w:p>
      <w:pPr>
        <w:pStyle w:val="Style2"/>
        <w:keepNext w:val="0"/>
        <w:keepLines w:val="0"/>
        <w:widowControl w:val="0"/>
        <w:shd w:val="clear" w:color="auto" w:fill="auto"/>
        <w:bidi w:val="0"/>
        <w:spacing w:before="0" w:after="0" w:line="276" w:lineRule="auto"/>
        <w:ind w:left="0" w:right="0" w:firstLine="0"/>
        <w:jc w:val="center"/>
        <w:rPr>
          <w:sz w:val="16"/>
          <w:szCs w:val="16"/>
        </w:rPr>
      </w:pPr>
      <w:r>
        <w:rPr>
          <w:color w:val="476198"/>
          <w:spacing w:val="0"/>
          <w:w w:val="100"/>
          <w:position w:val="0"/>
          <w:sz w:val="16"/>
          <w:szCs w:val="16"/>
          <w:shd w:val="clear" w:color="auto" w:fill="auto"/>
          <w:lang w:val="ru-RU" w:eastAsia="ru-RU" w:bidi="ru-RU"/>
        </w:rPr>
        <w:t>ул. Амурская, 150, г. Благовещенск</w:t>
      </w:r>
    </w:p>
    <w:p>
      <w:pPr>
        <w:pStyle w:val="Style2"/>
        <w:keepNext w:val="0"/>
        <w:keepLines w:val="0"/>
        <w:widowControl w:val="0"/>
        <w:shd w:val="clear" w:color="auto" w:fill="auto"/>
        <w:bidi w:val="0"/>
        <w:spacing w:before="0" w:after="0" w:line="276" w:lineRule="auto"/>
        <w:ind w:left="0" w:right="0" w:firstLine="0"/>
        <w:jc w:val="center"/>
        <w:rPr>
          <w:sz w:val="16"/>
          <w:szCs w:val="16"/>
        </w:rPr>
      </w:pPr>
      <w:r>
        <w:rPr>
          <w:color w:val="476198"/>
          <w:spacing w:val="0"/>
          <w:w w:val="100"/>
          <w:position w:val="0"/>
          <w:sz w:val="16"/>
          <w:szCs w:val="16"/>
          <w:shd w:val="clear" w:color="auto" w:fill="auto"/>
          <w:lang w:val="ru-RU" w:eastAsia="ru-RU" w:bidi="ru-RU"/>
        </w:rPr>
        <w:t>Амурская область, 675000</w:t>
        <w:br/>
        <w:t>тел. (4162) 52-00-07, факс (4162) 52-00-35</w:t>
        <w:br/>
        <w:t>е-таП: 1о28@Й8.§оу.ги</w:t>
      </w:r>
    </w:p>
    <w:p>
      <w:pPr>
        <w:pStyle w:val="Style11"/>
        <w:keepNext/>
        <w:keepLines/>
        <w:widowControl w:val="0"/>
        <w:shd w:val="clear" w:color="auto" w:fill="auto"/>
        <w:tabs>
          <w:tab w:pos="1838" w:val="left"/>
        </w:tabs>
        <w:bidi w:val="0"/>
        <w:spacing w:before="0" w:line="240" w:lineRule="auto"/>
        <w:ind w:left="0" w:right="0" w:firstLine="0"/>
        <w:jc w:val="both"/>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8.10.2024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МП/4082/2</w:t>
      </w:r>
      <w:r>
        <w:rPr>
          <w:color w:val="000000"/>
          <w:spacing w:val="0"/>
          <w:w w:val="100"/>
          <w:position w:val="0"/>
          <w:u w:val="none"/>
          <w:shd w:val="clear" w:color="auto" w:fill="auto"/>
          <w:lang w:val="ru-RU" w:eastAsia="ru-RU" w:bidi="ru-RU"/>
        </w:rPr>
        <w:t>4</w:t>
      </w:r>
      <w:bookmarkEnd w:id="0"/>
    </w:p>
    <w:p>
      <w:pPr>
        <w:pStyle w:val="Style2"/>
        <w:keepNext w:val="0"/>
        <w:keepLines w:val="0"/>
        <w:widowControl w:val="0"/>
        <w:shd w:val="clear" w:color="auto" w:fill="auto"/>
        <w:bidi w:val="0"/>
        <w:spacing w:before="0" w:after="620" w:line="264" w:lineRule="auto"/>
        <w:ind w:left="0" w:right="0" w:firstLine="0"/>
        <w:jc w:val="center"/>
        <w:rPr>
          <w:sz w:val="18"/>
          <w:szCs w:val="18"/>
        </w:rPr>
      </w:pPr>
      <w:r>
        <w:rPr>
          <w:color w:val="476198"/>
          <w:spacing w:val="0"/>
          <w:w w:val="100"/>
          <w:position w:val="0"/>
          <w:sz w:val="18"/>
          <w:szCs w:val="18"/>
          <w:shd w:val="clear" w:color="auto" w:fill="auto"/>
          <w:lang w:val="ru-RU" w:eastAsia="ru-RU" w:bidi="ru-RU"/>
        </w:rPr>
        <w:t xml:space="preserve">На №  от</w:t>
      </w:r>
    </w:p>
    <w:p>
      <w:pPr>
        <w:pStyle w:val="Style2"/>
        <w:keepNext w:val="0"/>
        <w:keepLines w:val="0"/>
        <w:widowControl w:val="0"/>
        <w:shd w:val="clear" w:color="auto" w:fill="auto"/>
        <w:bidi w:val="0"/>
        <w:spacing w:before="0" w:after="0" w:line="240" w:lineRule="auto"/>
        <w:ind w:left="0" w:right="0" w:firstLine="0"/>
        <w:jc w:val="left"/>
        <w:rPr>
          <w:sz w:val="22"/>
          <w:szCs w:val="22"/>
        </w:rPr>
      </w:pPr>
      <w:r>
        <w:rPr>
          <w:color w:val="000000"/>
          <w:spacing w:val="0"/>
          <w:w w:val="100"/>
          <w:position w:val="0"/>
          <w:sz w:val="22"/>
          <w:szCs w:val="22"/>
          <w:shd w:val="clear" w:color="auto" w:fill="auto"/>
          <w:lang w:val="ru-RU" w:eastAsia="ru-RU" w:bidi="ru-RU"/>
        </w:rPr>
        <w:t>Решение по делу № 028/06/106-789/2024</w:t>
      </w:r>
    </w:p>
    <w:p>
      <w:pPr>
        <w:pStyle w:val="Style16"/>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Администрация Ивановского муниципального округа ^VапоVка.^дп@та^1.^и</w:t>
      </w:r>
    </w:p>
    <w:p>
      <w:pPr>
        <w:pStyle w:val="Style16"/>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ИП Масальский Андрей Борисович 572211@таП.ги</w:t>
      </w:r>
    </w:p>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Муниципальное бюджетное учреждение</w:t>
      </w:r>
    </w:p>
    <w:p>
      <w:pPr>
        <w:pStyle w:val="Style16"/>
        <w:keepNext w:val="0"/>
        <w:keepLines w:val="0"/>
        <w:widowControl w:val="0"/>
        <w:shd w:val="clear" w:color="auto" w:fill="auto"/>
        <w:bidi w:val="0"/>
        <w:spacing w:before="0" w:after="0" w:line="240" w:lineRule="auto"/>
        <w:ind w:left="0" w:right="0" w:firstLine="0"/>
        <w:jc w:val="left"/>
        <w:sectPr>
          <w:headerReference w:type="default" r:id="rId5"/>
          <w:footerReference w:type="default" r:id="rId6"/>
          <w:headerReference w:type="first" r:id="rId7"/>
          <w:footerReference w:type="first" r:id="rId8"/>
          <w:footnotePr>
            <w:pos w:val="pageBottom"/>
            <w:numFmt w:val="decimal"/>
            <w:numRestart w:val="continuous"/>
          </w:footnotePr>
          <w:pgSz w:w="11900" w:h="16840"/>
          <w:pgMar w:top="284" w:right="953" w:bottom="1231" w:left="1125" w:header="0" w:footer="3" w:gutter="0"/>
          <w:pgNumType w:start="1"/>
          <w:cols w:num="2" w:space="739"/>
          <w:noEndnote/>
          <w:titlePg/>
          <w:rtlGutter w:val="0"/>
          <w:docGrid w:linePitch="360"/>
        </w:sectPr>
      </w:pPr>
      <w:r>
        <w:rPr>
          <w:color w:val="000000"/>
          <w:spacing w:val="0"/>
          <w:w w:val="100"/>
          <w:position w:val="0"/>
          <w:shd w:val="clear" w:color="auto" w:fill="auto"/>
          <w:lang w:val="ru-RU" w:eastAsia="ru-RU" w:bidi="ru-RU"/>
        </w:rPr>
        <w:t>Ивановского муниципального округа «Айрис» тЪшп§@таП.ги</w:t>
      </w:r>
    </w:p>
    <w:p>
      <w:pPr>
        <w:widowControl w:val="0"/>
        <w:spacing w:line="212" w:lineRule="exact"/>
        <w:rPr>
          <w:sz w:val="17"/>
          <w:szCs w:val="17"/>
        </w:rPr>
      </w:pPr>
    </w:p>
    <w:p>
      <w:pPr>
        <w:widowControl w:val="0"/>
        <w:spacing w:line="1" w:lineRule="exact"/>
        <w:sectPr>
          <w:footnotePr>
            <w:pos w:val="pageBottom"/>
            <w:numFmt w:val="decimal"/>
            <w:numRestart w:val="continuous"/>
          </w:footnotePr>
          <w:type w:val="continuous"/>
          <w:pgSz w:w="11900" w:h="16840"/>
          <w:pgMar w:top="900" w:right="0" w:bottom="815" w:left="0" w:header="0" w:footer="3" w:gutter="0"/>
          <w:cols w:space="720"/>
          <w:noEndnote/>
          <w:rtlGutter w:val="0"/>
          <w:docGrid w:linePitch="360"/>
        </w:sectPr>
      </w:pPr>
    </w:p>
    <w:p>
      <w:pPr>
        <w:pStyle w:val="Style16"/>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РЕШЕНИЕ</w:t>
        <w:br/>
        <w:t>по делу № 028/06/106-789/2024</w:t>
      </w:r>
    </w:p>
    <w:p>
      <w:pPr>
        <w:pStyle w:val="Style16"/>
        <w:keepNext w:val="0"/>
        <w:keepLines w:val="0"/>
        <w:widowControl w:val="0"/>
        <w:shd w:val="clear" w:color="auto" w:fill="auto"/>
        <w:tabs>
          <w:tab w:pos="8371" w:val="left"/>
        </w:tabs>
        <w:bidi w:val="0"/>
        <w:spacing w:before="0" w:after="0" w:line="240" w:lineRule="auto"/>
        <w:ind w:left="0" w:right="0" w:firstLine="0"/>
        <w:jc w:val="left"/>
      </w:pPr>
      <w:r>
        <w:rPr>
          <w:color w:val="000000"/>
          <w:spacing w:val="0"/>
          <w:w w:val="100"/>
          <w:position w:val="0"/>
          <w:shd w:val="clear" w:color="auto" w:fill="auto"/>
          <w:lang w:val="ru-RU" w:eastAsia="ru-RU" w:bidi="ru-RU"/>
        </w:rPr>
        <w:t>03.10.2024</w:t>
        <w:tab/>
        <w:t>г. Благовещенск</w:t>
      </w:r>
    </w:p>
    <w:p>
      <w:pPr>
        <w:pStyle w:val="Style16"/>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(в полном объеме изготовлено 08.10.2024)</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Амурской области (далее - Амурское УФАС России) по контролю в сфере закупок в составе: председателя Комиссии: Парнищевой М.М. - заместителя руководителя управления-начальника отдела контроля закупок; членов комиссии: Стрелковой Е.В. - главного специалиста-эксперта указанного отдела и Левченко И.И. - ведущего специалиста-эксперта указанного отдела;</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присутствии представителей (в режиме видеоконференции):</w:t>
      </w:r>
    </w:p>
    <w:p>
      <w:pPr>
        <w:pStyle w:val="Style16"/>
        <w:keepNext w:val="0"/>
        <w:keepLines w:val="0"/>
        <w:widowControl w:val="0"/>
        <w:numPr>
          <w:ilvl w:val="0"/>
          <w:numId w:val="1"/>
        </w:numPr>
        <w:shd w:val="clear" w:color="auto" w:fill="auto"/>
        <w:tabs>
          <w:tab w:pos="102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от муниципального заказчика - муниципального бюджетного учреждения Ивановского муниципального округа «Айрис» (далее - Заказчик) Смирновой В.А., директора учреждения, и Простокишиной С.М., действующей по доверенности от 30.09.2024 № 5;</w:t>
      </w:r>
    </w:p>
    <w:p>
      <w:pPr>
        <w:pStyle w:val="Style16"/>
        <w:keepNext w:val="0"/>
        <w:keepLines w:val="0"/>
        <w:widowControl w:val="0"/>
        <w:numPr>
          <w:ilvl w:val="0"/>
          <w:numId w:val="1"/>
        </w:numPr>
        <w:shd w:val="clear" w:color="auto" w:fill="auto"/>
        <w:tabs>
          <w:tab w:pos="1022"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от заявителя жалобы - индивидуального предпринимателя Масальского Андрея Борисовича (далее - Заявитель, ИП Масальский А.Б.) Горягина Е.А., действующего по доверенности от 01.10.2024 № 07.08.2024,</w:t>
      </w:r>
    </w:p>
    <w:p>
      <w:pPr>
        <w:pStyle w:val="Style16"/>
        <w:keepNext w:val="0"/>
        <w:keepLines w:val="0"/>
        <w:widowControl w:val="0"/>
        <w:numPr>
          <w:ilvl w:val="0"/>
          <w:numId w:val="1"/>
        </w:numPr>
        <w:shd w:val="clear" w:color="auto" w:fill="auto"/>
        <w:tabs>
          <w:tab w:pos="1126" w:val="left"/>
        </w:tabs>
        <w:bidi w:val="0"/>
        <w:spacing w:before="0" w:after="0" w:line="240" w:lineRule="auto"/>
        <w:ind w:left="0" w:right="0" w:firstLine="880"/>
        <w:jc w:val="both"/>
      </w:pPr>
      <w:r>
        <w:rPr>
          <w:color w:val="000000"/>
          <w:spacing w:val="0"/>
          <w:w w:val="100"/>
          <w:position w:val="0"/>
          <w:shd w:val="clear" w:color="auto" w:fill="auto"/>
          <w:lang w:val="ru-RU" w:eastAsia="ru-RU" w:bidi="ru-RU"/>
        </w:rPr>
        <w:t>сторонам по делу разъяснены права, порядок рассмотрения дела, сообщено о ведении аудио- и видеозаписи заседания Комиссии Амурского УФАС России);</w:t>
      </w:r>
    </w:p>
    <w:p>
      <w:pPr>
        <w:pStyle w:val="Style1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без участия представителей уполномоченного органа - администрации Ивановского муниципального округа Амурской области (далее - Уполномоченный орган), уведомленного надлежащим образом о времени, дате и месте рассмотрения жалобы,</w:t>
      </w:r>
    </w:p>
    <w:p>
      <w:pPr>
        <w:pStyle w:val="Style16"/>
        <w:keepNext w:val="0"/>
        <w:keepLines w:val="0"/>
        <w:widowControl w:val="0"/>
        <w:shd w:val="clear" w:color="auto" w:fill="auto"/>
        <w:bidi w:val="0"/>
        <w:spacing w:before="0" w:after="360" w:line="240" w:lineRule="auto"/>
        <w:ind w:left="0" w:right="0" w:firstLine="740"/>
        <w:jc w:val="both"/>
      </w:pPr>
      <w:r>
        <w:rPr>
          <w:color w:val="000000"/>
          <w:spacing w:val="0"/>
          <w:w w:val="100"/>
          <w:position w:val="0"/>
          <w:shd w:val="clear" w:color="auto" w:fill="auto"/>
          <w:lang w:val="ru-RU" w:eastAsia="ru-RU" w:bidi="ru-RU"/>
        </w:rPr>
        <w:t>рассмотрела поступившую 26.09.2024 в Амурское УФАС России жалобу ИП Масальского А.Б. (ИНН 280103723015) на действия Заказчика и Уполномоченного органа при осуществлении закупки на выполнение работ по ремонту и плановому техническому обслуживанию автомобилей МБУ Ивановского муниципального округа "АЙРИС" способом запроса котировок в электронной форме, объявленного извещением от 23.09.2024</w:t>
      </w:r>
    </w:p>
    <w:p>
      <w:pPr>
        <w:pStyle w:val="Style22"/>
        <w:keepNext/>
        <w:keepLines/>
        <w:widowControl w:val="0"/>
        <w:shd w:val="clear" w:color="auto" w:fill="auto"/>
        <w:bidi w:val="0"/>
        <w:spacing w:before="0" w:line="240" w:lineRule="auto"/>
        <w:ind w:left="0" w:right="0" w:firstLine="0"/>
        <w:jc w:val="left"/>
      </w:pPr>
      <w:bookmarkStart w:id="2" w:name="bookmark2"/>
      <w:r>
        <w:rPr>
          <w:color w:val="000000"/>
          <w:spacing w:val="0"/>
          <w:w w:val="100"/>
          <w:position w:val="0"/>
          <w:shd w:val="clear" w:color="auto" w:fill="auto"/>
          <w:lang w:val="ru-RU" w:eastAsia="ru-RU" w:bidi="ru-RU"/>
        </w:rPr>
        <w:t>111111111111111111111111</w:t>
      </w:r>
      <w:bookmarkEnd w:id="2"/>
    </w:p>
    <w:p>
      <w:pPr>
        <w:pStyle w:val="Style1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 0123600002524000224 в Единой информационной системе в сфере закупок \у\у\у./акирк1.доу.ги и на электронной площадке РТС-тендер \у\у\у.г18-1епс1ег.ги, выразившиеся, по мнению Заявителя, в формировании закупочной документации с нарушением положений Федерального закона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Представитель Заявителя на заседании Комиссии Амурского УФАС России 03.10.2024 поддержал доводы жалобы, пояснил, что Заказчиком неверно установлено требование о необходимости снижения начальной (максимальной) цены контракта при подаче заявки на участие в закупке. По мнению Заявителя, необходимо снижать стоимость одного часа работы. Кроме того, в описании объекта закупки и проекте контракта указаны противоречивые сведения в отношении необходимости приобретения исполнителем по контракту расходных материалов при оказании услуг. Указал, что ранее Заказчиком заключен контракт на оказание аналогичных услуг. Просил Комиссию Амурского УФАС России признать жалобу обоснованной, выдать Заказчику предписание об устранении нарушений.</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Представители Заказчика на заседании Комиссии Амурского УФАС России 03.10.2024 с доводами жалобы не согласились, пояснили, что Закон о контрактной системе позволяет заказчикам осуществлять закупки с неопределенным объемом, то есть заказчик может выбирать из перечня продукции необходимые ему позиции в пределах имеющегося бюджета. При этом объем закупок по каждой из позиций перечня не определен и может быть любым. Ограничен такой объем только бюджетом заказчика. Таким образом, в случае если невозможно определить объем, Заказчик обязан обосновать начальную цену единицы товара, работы, услуги, начальную сумму цен указанных единиц, максимальное значение цены контракта, а также обосновывает цену единицы товара, работы, услуги. В извещении о проведении закупки Заказчиком указан и определен объем работ: услуги по сборке частей и принадлежностей для автотранспортных средств, не включенные в другие группировки ОКПД 2 - 29.32.92.000 - 129 человеко-часов. В связи с тем, что при снижении за единицу работ, цена контракта равна начальной (максимальной) цене, данный лимит резервируется до конца года, существует вероятность, что услуги полностью не реализуются. В соответствии с протоколом от 01.10.2024 цена контракта составила 180 600 рублей, то есть экономия - 116100 рублей, которую заказчик сможет успеть реализовать до конца года. При снижении за единицу работ эта возможность отсутствует. Извещение предусматривает таблицу с разбивкой вида работ на основании коммерческих предложений. При определении цены контракта Заказчик предусмотрел все необходимые работы. Так как они все по одной стоимости, принято решение объединить работы в один человеко-час. При заключении контракта исполнитель должен самостоятельно определить по какой стоимости он будет производить ту или иную работу, не превышая стоимости контракта. В части противоречивых сведений в отношении необходимости приобретения исполнителем по контракту расходных материалов при оказании услуг, пояснили, что Заказчиком некорректно сформулированы пункты 2.3 и 2.5 проекта контракта. Кроме того, представители Заказчика пояснили, что договор, на который ссылается заявитель, расторгнут по соглашению сторон, просили признать жалобу необоснованной.</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Амурского УФАС России, рассмотрев жалобу, заслушав представителей сторон по делу, исследовав материалы дела,</w:t>
      </w:r>
    </w:p>
    <w:p>
      <w:pPr>
        <w:pStyle w:val="Style16"/>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Постановлением главы Ивановского муниципального округа от 18.05.2022 № 450 определены уполномоченные органы и утвержден порядок взаимодействия заказчиков с уполномоченными органами (далее - Порядок № 450).</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Названным постановлением администрация Ивановского муниципального округа определена уполномоченным органом, осуществляющим полномочия по определению поставщиков (подрядчиков, исполнителей) для нужд заказчиков округа конкурентными способами определения поставщиков (подрядчиков, исполнителей) - открытым конкурсом в электронной форме, конкурсом с ограниченным участием в электронной форме, двухэтапным конкурсом в электронной форме, аукционом в электронной форме, запросом котировок в электронной форме (далее - закупки).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1.2 Порядка № 450 осуществление закупок товаров, работ, услуг для нужд округа реализуется через региональную информационную систему в сфере закупок товаров, работ, услуг для обеспечения нужд области «Централизованная информационно-техническая платформа «АЦК-Госзаказ» (далее - ЦИТП) на основании заявок заказчиков, составляемых в соответствии с планами-графиками закупок, а также потребностями и доведенными лимитами бюджетных обязательств на соответствующий финансовый год.</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2.4 Порядок № 450 Заказчик несет ответственность в соответствии с законодательством Российской Федерации за соответствие информации, содержащейся в извещении об осуществлении закупки, указанной на основании заявки на закупку информации, содержащейся в плане-графике на соответствующий финансовый год, а также за наличие лимитов бюджетных обязательств.</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следует из пункта 3.1 Порядок № 450 в целях осуществления закупок заказчики в порядке, утвержденном уполномоченным органом, формируют в ЦИТП заявки на закупку в виде электронного документа, подписанного электронной подписью руководителя заказчика или иного лица, уполномоченного на подписание заявки на закупку и в бумажной форме, подписанную собственноручной подписью руководителя заказчика или иного лица, уполномоченного на подписание заявки на закупку по форме согласно приложению ^ 1 к настоящему Порядку (далее - ЭД).</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пункте 3.2 Порядка № 450 определено, что заявка на закупку направляется заказчиком на регистрацию в ЦИТП и фиксируется в журнале входящей документации. Дата регистрации заявки на закупку фиксируется в ЦИТП. Одновременно с заявкой на закупку заказчик размещает в ЦИТП и передает по электронной почте отдела закупок юридического управления администрации округа: 1) проект муниципального контракта (контракта), предметом которого являются поставка товара, выполнение работы, оказание услуги (далее - проект контракта); 2) обоснование начальной (максимальной) цены контракта, начальной суммы цен единиц товара, работы, услуги; 3) описание объекта закупки в соответствии со статьями 23, 33 Закона; 4) критерии оценки заявок на участие в закупке с указанием значения и величины значимости критериев оценки и порядок рассмотрения и оценки заявок на участие в открытых конкурсах в электронной форме в соответствии с Законом (в случае определения поставщика (подрядчика, исполнителя) открытым конкурсом в электронной форме); 5)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 (в случае установления таких требований Законом);</w:t>
      </w:r>
    </w:p>
    <w:p>
      <w:pPr>
        <w:pStyle w:val="Style16"/>
        <w:keepNext w:val="0"/>
        <w:keepLines w:val="0"/>
        <w:widowControl w:val="0"/>
        <w:numPr>
          <w:ilvl w:val="0"/>
          <w:numId w:val="3"/>
        </w:numPr>
        <w:shd w:val="clear" w:color="auto" w:fill="auto"/>
        <w:tabs>
          <w:tab w:pos="338" w:val="left"/>
        </w:tabs>
        <w:bidi w:val="0"/>
        <w:spacing w:before="0" w:after="0" w:line="240" w:lineRule="auto"/>
        <w:ind w:left="0" w:right="0" w:firstLine="0"/>
        <w:jc w:val="both"/>
      </w:pPr>
      <w:r>
        <w:rPr>
          <w:color w:val="000000"/>
          <w:spacing w:val="0"/>
          <w:w w:val="100"/>
          <w:position w:val="0"/>
          <w:shd w:val="clear" w:color="auto" w:fill="auto"/>
          <w:lang w:val="ru-RU" w:eastAsia="ru-RU" w:bidi="ru-RU"/>
        </w:rPr>
        <w:t>состав комиссии по осуществлению закупки.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3.4 Порядка № 450 Уполномоченный орган в течение 7 рабочих дней со дня размещения заявки на закупку в ЦИТП и регистрации ее в журнале входящих документов рассматривает ее и выносит в ЦИТП решение о принятии или об отказе в принятии заявки на закупку в обработку или решение о возврате заявки на закупку на доработку путем внесения в нее изменений.</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3.5 Порядка № 450 Уполномоченный орган в течение 7 рабочих дней со дня принятия в обработку заявки на закупку формирует извещение об осуществлении закупки и размещает его в единой информационной системе в сфере закупок с электронными документами, указанными в части 2 статьи 42 Закона, в том числе с документами, предусмотренными абзацами третьим - шестым пункта 3.2 настоящего Порядка, содержание которых определяет непосредственно заказчик.</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Пунктом 3.7 Порядка № 450 определено, что Уполномоченный орган осуществляет полномочия на определение поставщиков (подрядчиков, исполнителей), за исключением полномочий на обоснование закупок, описание объекта закупки, включая выбор кода ОКПД2, определение условий контракта, начальной (максимальной) цены контракта, критериев оценки заявок на участие в закупке с указанием значения и величины значимости критериев оценки и порядка рассмотрения и оценки заявок на участие в открытых конкурсах в электронной форме, подписание контрактов.</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23.09.2024 Уполномоченным органом по заявке Заказчика в Единой информационной системе в сфере закупок \у\у\у./акирк1.доу.ги и на электронной площадке РТС-тендер</w:t>
      </w:r>
      <w:r>
        <w:fldChar w:fldCharType="begin"/>
      </w:r>
      <w:r>
        <w:rPr/>
        <w:instrText> HYPERLINK "http://www.rts-tender.ru/" </w:instrText>
      </w:r>
      <w:r>
        <w:fldChar w:fldCharType="separate"/>
      </w:r>
      <w:r>
        <w:rPr>
          <w:color w:val="000000"/>
          <w:spacing w:val="0"/>
          <w:w w:val="100"/>
          <w:position w:val="0"/>
          <w:shd w:val="clear" w:color="auto" w:fill="auto"/>
          <w:lang w:val="ru-RU" w:eastAsia="ru-RU" w:bidi="ru-RU"/>
        </w:rPr>
        <w:t xml:space="preserve"> </w:t>
      </w:r>
      <w:r>
        <w:rPr>
          <w:color w:val="000080"/>
          <w:spacing w:val="0"/>
          <w:w w:val="100"/>
          <w:position w:val="0"/>
          <w:u w:val="single"/>
          <w:shd w:val="clear" w:color="auto" w:fill="auto"/>
          <w:lang w:val="ru-RU" w:eastAsia="ru-RU" w:bidi="ru-RU"/>
        </w:rPr>
        <w:t>\у\у\у.1'18-1епс1е1'.1'и</w:t>
      </w:r>
      <w:r>
        <w:rPr>
          <w:color w:val="00008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опубликовано извещение №0123600002524000224 о проведении закупки способом запроса котировок в электронной форме на право заключения контракта на выполнение работ по ремонту и плановому техническому обслуживанию автомобилей МБУ Ивановского муниципального округа «АЙРИС».</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- 296 700,00 рублей.</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начала срока подачи заявок - 23.09.2024 в 13:27. Дата и время окончания срока подачи заявок - 30.09.2024 в 09:00. Дата подведения итогов определения поставщика (подрядчика, исполнителя) - 01.10.2024.</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следует из протокола подведения итогов определения поставщика (подрядчика, исполнителя) от 01.10.2024 № 0123600002524000224, на участие в закупке поданы две заявки, которые признаны соответствующими требованиям извещения; по результатам подведения итогов определения поставщика (подрядчика, исполнителя) победителем электронного запроса котировок признается участник закупки идентификационный № 117364290 с ценой контракта 180 600,00 рублей.</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дату рассмотрения жалобы и проведения внеплановой проверки контракт не заключен.</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Исследовав материалы дела, Комиссия Амурского УФАС России приходит к следующим выводам.</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регулируются Законом о контрактной системе.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Согласно статье 6 Закона о контрактной системе контрактная система в сфере закупок основывается на принципах открытости, прозрачности информации о контрактной </w:t>
      </w:r>
      <w:r>
        <w:rPr>
          <w:color w:val="000000"/>
          <w:spacing w:val="0"/>
          <w:w w:val="100"/>
          <w:position w:val="0"/>
          <w:shd w:val="clear" w:color="auto" w:fill="auto"/>
          <w:lang w:val="ru-RU" w:eastAsia="ru-RU" w:bidi="ru-RU"/>
        </w:rPr>
        <w:t>системе в сфере закупок, обеспечения конкуренции, профессионализма заказчиков, стимулирования инноваций, единства контрактной системы в сфере закупок, ответственности за результативность обеспечения государственных и муниципальных нужд, эффективности осуществления закупок.</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следует из пункта 3 части 2 статьи 24 Закона о контрактной системе запрос котировок в электронной форме является конкурентным способом осуществления закупки.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соответствии с частью 1 статьи 50 Закона о контрактной системе электронный запрос котировок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w:t>
      </w:r>
      <w:r>
        <w:fldChar w:fldCharType="begin"/>
      </w:r>
      <w:r>
        <w:rPr/>
        <w:instrText> HYPERLINK "https://login.consultant.ru/link/?req=doc&amp;base=LAW&amp;n=482981&amp;dst=2337" </w:instrText>
      </w:r>
      <w:r>
        <w:fldChar w:fldCharType="separate"/>
      </w:r>
      <w:r>
        <w:rPr>
          <w:color w:val="000080"/>
          <w:spacing w:val="0"/>
          <w:w w:val="100"/>
          <w:position w:val="0"/>
          <w:u w:val="single"/>
          <w:shd w:val="clear" w:color="auto" w:fill="auto"/>
          <w:lang w:val="ru-RU" w:eastAsia="ru-RU" w:bidi="ru-RU"/>
        </w:rPr>
        <w:t>подпунктами "м"</w:t>
      </w:r>
      <w:r>
        <w:rPr>
          <w:color w:val="00008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w:t>
      </w:r>
      <w:r>
        <w:fldChar w:fldCharType="begin"/>
      </w:r>
      <w:r>
        <w:rPr/>
        <w:instrText> HYPERLINK "https://login.consultant.ru/link/?req=doc&amp;base=LAW&amp;n=482981&amp;dst=2340" </w:instrText>
      </w:r>
      <w:r>
        <w:fldChar w:fldCharType="separate"/>
      </w:r>
      <w:r>
        <w:rPr>
          <w:color w:val="000000"/>
          <w:spacing w:val="0"/>
          <w:w w:val="100"/>
          <w:position w:val="0"/>
          <w:shd w:val="clear" w:color="auto" w:fill="auto"/>
          <w:lang w:val="ru-RU" w:eastAsia="ru-RU" w:bidi="ru-RU"/>
        </w:rPr>
        <w:t xml:space="preserve"> </w:t>
      </w:r>
      <w:r>
        <w:rPr>
          <w:color w:val="000080"/>
          <w:spacing w:val="0"/>
          <w:w w:val="100"/>
          <w:position w:val="0"/>
          <w:u w:val="single"/>
          <w:shd w:val="clear" w:color="auto" w:fill="auto"/>
          <w:lang w:val="ru-RU" w:eastAsia="ru-RU" w:bidi="ru-RU"/>
        </w:rPr>
        <w:t>"п" пункта 1</w:t>
      </w:r>
      <w:r>
        <w:fldChar w:fldCharType="end"/>
      </w:r>
      <w:r>
        <w:rPr>
          <w:color w:val="000000"/>
          <w:spacing w:val="0"/>
          <w:w w:val="100"/>
          <w:position w:val="0"/>
          <w:u w:val="single"/>
          <w:shd w:val="clear" w:color="auto" w:fill="auto"/>
          <w:lang w:val="ru-RU" w:eastAsia="ru-RU" w:bidi="ru-RU"/>
        </w:rPr>
        <w:t xml:space="preserve">, </w:t>
      </w:r>
      <w:r>
        <w:fldChar w:fldCharType="begin"/>
      </w:r>
      <w:r>
        <w:rPr/>
        <w:instrText> HYPERLINK "https://login.consultant.ru/link/?req=doc&amp;base=LAW&amp;n=482981&amp;dst=2343" </w:instrText>
      </w:r>
      <w:r>
        <w:fldChar w:fldCharType="separate"/>
      </w:r>
      <w:r>
        <w:rPr>
          <w:color w:val="000080"/>
          <w:spacing w:val="0"/>
          <w:w w:val="100"/>
          <w:position w:val="0"/>
          <w:u w:val="single"/>
          <w:shd w:val="clear" w:color="auto" w:fill="auto"/>
          <w:lang w:val="ru-RU" w:eastAsia="ru-RU" w:bidi="ru-RU"/>
        </w:rPr>
        <w:t>подпунктами "а"</w:t>
      </w:r>
      <w:r>
        <w:rPr>
          <w:color w:val="00008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w:t>
      </w:r>
      <w:r>
        <w:fldChar w:fldCharType="begin"/>
      </w:r>
      <w:r>
        <w:rPr/>
        <w:instrText> HYPERLINK "https://login.consultant.ru/link/?req=doc&amp;base=LAW&amp;n=482981&amp;dst=2345" </w:instrText>
      </w:r>
      <w:r>
        <w:fldChar w:fldCharType="separate"/>
      </w:r>
      <w:r>
        <w:rPr>
          <w:color w:val="000000"/>
          <w:spacing w:val="0"/>
          <w:w w:val="100"/>
          <w:position w:val="0"/>
          <w:shd w:val="clear" w:color="auto" w:fill="auto"/>
          <w:lang w:val="ru-RU" w:eastAsia="ru-RU" w:bidi="ru-RU"/>
        </w:rPr>
        <w:t xml:space="preserve"> </w:t>
      </w:r>
      <w:r>
        <w:rPr>
          <w:color w:val="000080"/>
          <w:spacing w:val="0"/>
          <w:w w:val="100"/>
          <w:position w:val="0"/>
          <w:u w:val="single"/>
          <w:shd w:val="clear" w:color="auto" w:fill="auto"/>
          <w:lang w:val="ru-RU" w:eastAsia="ru-RU" w:bidi="ru-RU"/>
        </w:rPr>
        <w:t>"в"</w:t>
      </w:r>
      <w:r>
        <w:fldChar w:fldCharType="end"/>
      </w:r>
      <w:r>
        <w:rPr>
          <w:color w:val="000080"/>
          <w:spacing w:val="0"/>
          <w:w w:val="100"/>
          <w:position w:val="0"/>
          <w:u w:val="single"/>
          <w:shd w:val="clear" w:color="auto" w:fill="auto"/>
          <w:lang w:val="ru-RU" w:eastAsia="ru-RU" w:bidi="ru-RU"/>
        </w:rPr>
        <w:t xml:space="preserve"> </w:t>
      </w:r>
      <w:r>
        <w:fldChar w:fldCharType="begin"/>
      </w:r>
      <w:r>
        <w:rPr/>
        <w:instrText> HYPERLINK "https://login.consultant.ru/link/?req=doc&amp;base=LAW&amp;n=482981&amp;dst=2345" </w:instrText>
      </w:r>
      <w:r>
        <w:fldChar w:fldCharType="separate"/>
      </w:r>
      <w:r>
        <w:rPr>
          <w:color w:val="000080"/>
          <w:spacing w:val="0"/>
          <w:w w:val="100"/>
          <w:position w:val="0"/>
          <w:u w:val="single"/>
          <w:shd w:val="clear" w:color="auto" w:fill="auto"/>
          <w:lang w:val="ru-RU" w:eastAsia="ru-RU" w:bidi="ru-RU"/>
        </w:rPr>
        <w:t>пункта 2</w:t>
      </w:r>
      <w:r>
        <w:fldChar w:fldCharType="end"/>
      </w:r>
      <w:r>
        <w:rPr>
          <w:color w:val="000000"/>
          <w:spacing w:val="0"/>
          <w:w w:val="100"/>
          <w:position w:val="0"/>
          <w:u w:val="single"/>
          <w:shd w:val="clear" w:color="auto" w:fill="auto"/>
          <w:lang w:val="ru-RU" w:eastAsia="ru-RU" w:bidi="ru-RU"/>
        </w:rPr>
        <w:t xml:space="preserve">, </w:t>
      </w:r>
      <w:r>
        <w:fldChar w:fldCharType="begin"/>
      </w:r>
      <w:r>
        <w:rPr/>
        <w:instrText> HYPERLINK "https://login.consultant.ru/link/?req=doc&amp;base=LAW&amp;n=482981&amp;dst=2348" </w:instrText>
      </w:r>
      <w:r>
        <w:fldChar w:fldCharType="separate"/>
      </w:r>
      <w:r>
        <w:rPr>
          <w:color w:val="000080"/>
          <w:spacing w:val="0"/>
          <w:w w:val="100"/>
          <w:position w:val="0"/>
          <w:u w:val="single"/>
          <w:shd w:val="clear" w:color="auto" w:fill="auto"/>
          <w:lang w:val="ru-RU" w:eastAsia="ru-RU" w:bidi="ru-RU"/>
        </w:rPr>
        <w:t>пунктом 3</w:t>
      </w:r>
      <w:r>
        <w:rPr>
          <w:color w:val="00008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или</w:t>
      </w:r>
      <w:r>
        <w:fldChar w:fldCharType="begin"/>
      </w:r>
      <w:r>
        <w:rPr/>
        <w:instrText> HYPERLINK "https://login.consultant.ru/link/?req=doc&amp;base=LAW&amp;n=482981&amp;dst=2349" </w:instrText>
      </w:r>
      <w:r>
        <w:fldChar w:fldCharType="separate"/>
      </w:r>
      <w:r>
        <w:rPr>
          <w:color w:val="000000"/>
          <w:spacing w:val="0"/>
          <w:w w:val="100"/>
          <w:position w:val="0"/>
          <w:shd w:val="clear" w:color="auto" w:fill="auto"/>
          <w:lang w:val="ru-RU" w:eastAsia="ru-RU" w:bidi="ru-RU"/>
        </w:rPr>
        <w:t xml:space="preserve"> </w:t>
      </w:r>
      <w:r>
        <w:rPr>
          <w:color w:val="000080"/>
          <w:spacing w:val="0"/>
          <w:w w:val="100"/>
          <w:position w:val="0"/>
          <w:u w:val="single"/>
          <w:shd w:val="clear" w:color="auto" w:fill="auto"/>
          <w:lang w:val="ru-RU" w:eastAsia="ru-RU" w:bidi="ru-RU"/>
        </w:rPr>
        <w:t>пунктом 4</w:t>
      </w:r>
      <w:r>
        <w:fldChar w:fldCharType="end"/>
      </w:r>
      <w:r>
        <w:rPr>
          <w:color w:val="000000"/>
          <w:spacing w:val="0"/>
          <w:w w:val="100"/>
          <w:position w:val="0"/>
          <w:u w:val="single"/>
          <w:shd w:val="clear" w:color="auto" w:fill="auto"/>
          <w:lang w:val="ru-RU" w:eastAsia="ru-RU" w:bidi="ru-RU"/>
        </w:rPr>
        <w:t xml:space="preserve">, </w:t>
      </w:r>
      <w:r>
        <w:fldChar w:fldCharType="begin"/>
      </w:r>
      <w:r>
        <w:rPr/>
        <w:instrText> HYPERLINK "https://login.consultant.ru/link/?req=doc&amp;base=LAW&amp;n=482981&amp;dst=2350" </w:instrText>
      </w:r>
      <w:r>
        <w:fldChar w:fldCharType="separate"/>
      </w:r>
      <w:r>
        <w:rPr>
          <w:color w:val="000080"/>
          <w:spacing w:val="0"/>
          <w:w w:val="100"/>
          <w:position w:val="0"/>
          <w:u w:val="single"/>
          <w:shd w:val="clear" w:color="auto" w:fill="auto"/>
          <w:lang w:val="ru-RU" w:eastAsia="ru-RU" w:bidi="ru-RU"/>
        </w:rPr>
        <w:t>пунктом 5 части 1 статьи 43</w:t>
      </w:r>
      <w:r>
        <w:rPr>
          <w:color w:val="00008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 xml:space="preserve">настоящего Федерального закона. Заявка также может содержать информацию и документы, предусмотренные </w:t>
      </w:r>
      <w:r>
        <w:fldChar w:fldCharType="begin"/>
      </w:r>
      <w:r>
        <w:rPr/>
        <w:instrText> HYPERLINK "https://login.consultant.ru/link/?req=doc&amp;base=LAW&amp;n=482981&amp;dst=2347" </w:instrText>
      </w:r>
      <w:r>
        <w:fldChar w:fldCharType="separate"/>
      </w:r>
      <w:r>
        <w:rPr>
          <w:color w:val="000080"/>
          <w:spacing w:val="0"/>
          <w:w w:val="100"/>
          <w:position w:val="0"/>
          <w:u w:val="single"/>
          <w:shd w:val="clear" w:color="auto" w:fill="auto"/>
          <w:lang w:val="ru-RU" w:eastAsia="ru-RU" w:bidi="ru-RU"/>
        </w:rPr>
        <w:t>подпунктом "д" пункта 2 части 1 статьи 43</w:t>
      </w:r>
      <w:r>
        <w:rPr>
          <w:color w:val="000080"/>
          <w:spacing w:val="0"/>
          <w:w w:val="100"/>
          <w:position w:val="0"/>
          <w:shd w:val="clear" w:color="auto" w:fill="auto"/>
          <w:lang w:val="ru-RU" w:eastAsia="ru-RU" w:bidi="ru-RU"/>
        </w:rPr>
        <w:t xml:space="preserve"> </w:t>
      </w:r>
      <w:r>
        <w:fldChar w:fldCharType="end"/>
      </w:r>
      <w:r>
        <w:rPr>
          <w:color w:val="000000"/>
          <w:spacing w:val="0"/>
          <w:w w:val="100"/>
          <w:position w:val="0"/>
          <w:shd w:val="clear" w:color="auto" w:fill="auto"/>
          <w:lang w:val="ru-RU" w:eastAsia="ru-RU" w:bidi="ru-RU"/>
        </w:rPr>
        <w:t>настоящего Федерального закона.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помимо прочего, следующую информацию:</w:t>
      </w:r>
    </w:p>
    <w:p>
      <w:pPr>
        <w:pStyle w:val="Style16"/>
        <w:keepNext w:val="0"/>
        <w:keepLines w:val="0"/>
        <w:widowControl w:val="0"/>
        <w:numPr>
          <w:ilvl w:val="0"/>
          <w:numId w:val="5"/>
        </w:numPr>
        <w:shd w:val="clear" w:color="auto" w:fill="auto"/>
        <w:tabs>
          <w:tab w:pos="10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информацию о количестве (за исключением случая, предусмотренного частью 24 статьи 22 настоящего Федерального закона), единице измерения и месте поставки товара (при осуществлении закупки товара, в том числе поставляемого заказчику при выполнении закупаемых работ, оказании закупаемых услуг);</w:t>
      </w:r>
    </w:p>
    <w:p>
      <w:pPr>
        <w:pStyle w:val="Style16"/>
        <w:keepNext w:val="0"/>
        <w:keepLines w:val="0"/>
        <w:widowControl w:val="0"/>
        <w:numPr>
          <w:ilvl w:val="0"/>
          <w:numId w:val="5"/>
        </w:numPr>
        <w:shd w:val="clear" w:color="auto" w:fill="auto"/>
        <w:tabs>
          <w:tab w:pos="10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информацию об объеме (за исключением случая, предусмотренного частью 24 статьи 22 настоящего Федерального закона), о единице измерения (при наличии) и месте выполнения работы или оказания услуги;</w:t>
      </w:r>
    </w:p>
    <w:p>
      <w:pPr>
        <w:pStyle w:val="Style16"/>
        <w:keepNext w:val="0"/>
        <w:keepLines w:val="0"/>
        <w:widowControl w:val="0"/>
        <w:numPr>
          <w:ilvl w:val="0"/>
          <w:numId w:val="7"/>
        </w:numPr>
        <w:shd w:val="clear" w:color="auto" w:fill="auto"/>
        <w:tabs>
          <w:tab w:pos="104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начальную (максимальную) цену контракта (цена отдельных этапов исполнения контракта, если проектом контракта предусмотрены такие этапы), источник финансирования, наименование валюты в соответствии с общероссийским классификатором валют. В случае, предусмотренном частью 24 статьи 22 настоящего Федерального закона, указываются начальная цена единицы товара, работы, услуги, а также начальная сумма цен указанных единиц и максимальное значение цены контракта. В случаях, установленных Правительством Российской Федерации в соответствии с частью 2 статьи 34 настоящего Федерального закона, указываются ориентировочное значение цены контракта либо формула цены и максимальное значение цены контракта.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в том числе следующие электронные документы:</w:t>
      </w:r>
    </w:p>
    <w:p>
      <w:pPr>
        <w:pStyle w:val="Style16"/>
        <w:keepNext w:val="0"/>
        <w:keepLines w:val="0"/>
        <w:widowControl w:val="0"/>
        <w:numPr>
          <w:ilvl w:val="0"/>
          <w:numId w:val="9"/>
        </w:numPr>
        <w:shd w:val="clear" w:color="auto" w:fill="auto"/>
        <w:tabs>
          <w:tab w:pos="105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описание объекта закупки в соответствии со статьей 33 настоящего Федерального закона;</w:t>
      </w:r>
    </w:p>
    <w:p>
      <w:pPr>
        <w:pStyle w:val="Style16"/>
        <w:keepNext w:val="0"/>
        <w:keepLines w:val="0"/>
        <w:widowControl w:val="0"/>
        <w:numPr>
          <w:ilvl w:val="0"/>
          <w:numId w:val="9"/>
        </w:numPr>
        <w:shd w:val="clear" w:color="auto" w:fill="auto"/>
        <w:tabs>
          <w:tab w:pos="105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обоснование начальной (максимальной) цены контракта. Заказчик, осуществляющий деятельность на территории иностранного государства, также указывает информацию о валюте, используемой для определения и обоснования начальной (максимальной) цены контракта, для оплаты поставленного товара, выполненной работы, оказанной услуги, и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поставленного товара, выполненной работы, оказанной услуги;</w:t>
      </w:r>
    </w:p>
    <w:p>
      <w:pPr>
        <w:pStyle w:val="Style16"/>
        <w:keepNext w:val="0"/>
        <w:keepLines w:val="0"/>
        <w:widowControl w:val="0"/>
        <w:numPr>
          <w:ilvl w:val="0"/>
          <w:numId w:val="9"/>
        </w:numPr>
        <w:shd w:val="clear" w:color="auto" w:fill="auto"/>
        <w:tabs>
          <w:tab w:pos="105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5) проект контракта.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пунктом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Рассмотрев довод Заявителя о том, что Заказчиком неверно установлено требование о необходимости снижения начальной (максимальной) цены контракта при подаче заявки на участие в закупке, Комиссия Амурского УФАС России приходит к следующим выводам.</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части 24 статьи 22 Закона о контрактной системе в случае, если количество поставляемых товаров, объем подлежащих выполнению работ, оказанию услуг невозможно определить, заказчик с учетом установленных в соответствии со статьей 19 настоящего Федерального закона требований к закупаемым заказчиком товару, работе, услуге (в том числе предельной цены товара, работы, услуги) и (или) нормативных затрат на обеспечение функций государственных органов, органов управления государственными внебюджетными фондами, муниципальных органов определяет начальную цену единицы товара, работы, услуги, начальную сумму цен указанных единиц, максимальное значение цены контракта, а также обосновывает в соответствии с настоящей статьей цену единицы товара, работы, услуги. При этом положения настоящего Федерального закона, касающиеся применения начальной (максимальной) цены контракта, в том числе для расчета размера обеспечения заявки или обеспечения исполнения контракта, применяются к максимальному значению цены контракта, если настоящим Федеральным законом не установлено иное.</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Как следует из подпункта в) части 2 статьи 51 Закона о контрактной системе максимальное значение цены контракта и цену единицы товара, работы, услуги, соответствующие максимальному значению цены контракта, указанному в извещении об </w:t>
      </w:r>
      <w:r>
        <w:rPr>
          <w:color w:val="000000"/>
          <w:spacing w:val="0"/>
          <w:w w:val="100"/>
          <w:position w:val="0"/>
          <w:shd w:val="clear" w:color="auto" w:fill="auto"/>
          <w:lang w:val="ru-RU" w:eastAsia="ru-RU" w:bidi="ru-RU"/>
        </w:rPr>
        <w:t>осуществлении закупки, с учетом положений нормативных правовых актов, принятых в соответствии со статьей 14 настоящего Федерального закона, положений статей 28 и 29 настоящего Федерального закона (в случае, предусмотренном частью 24 статьи 22 настоящего Федерального закона). При этом цена единицы товара, работы, услуги определяется путем уменьшения начальной цены такой единицы, указанной в извещении об осуществлении закупки, пропорционально снижению начальной суммы цен единиц товаров, работ, услуг, предложенному участником закупки, с которым заключается контракт;</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Законом о контрактной системе предусмотрены случаи пропорционального снижения цены, предложенной участником закупки. Контракт по результатам электронной процедуры заключается по цене, предложенной участником закупки, с которым заключается контракт. Полученная итоговая стоимость позиций товара, и общая итоговая цена контракта вносятся в проект государственного (муниципального) контракта, направляемого победителю закупки.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Объектом рассматриваемой закупки Заказчиком определены услуги по сборке частей и принадлежностей для автотранспортных средств, не включенные в другие группировки (ОКПД2 - 29.32.92.000). Количество (объем работы, услуги) - 129,00; ед. измерения: человеко-час; цена за ед. - 2 300,00 рублей; стоимость - 296 700,00 рублей.</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исходя из описания объекта рассматриваемой закупки, следует, что с учетом наличия особенностей закупаемой заказчиком услуги, не представляется возможным на момент осуществления закупки, в том числе с учётом окончания финансового года, однозначно определить объем выполняемых работ, входящих в предмет контракта, заключаемого по итогам закупки.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Амурского УФАС России приходит к выводу, что поскольку законодательством о контрактной системе в случае невозможности определения объема работ, подлежащих выполнению, предусмотрено право заказчика определить начальную цену единицы работы, начальную сумму цен указанных единиц, максимальное значение цены контракта, а также указать, что оплата работ осуществляется по цене единицы работы исходя из объема фактически выполненной работы, но в размере, не превышающем максимального значения цены контракта, указанного в извещении об осуществлении закупки, нарушений Закона о контрактной системе в действиях Заказчика и Уполномоченного органа по вышеуказанному доводу Заявителя не установлено.</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Комиссия Амурского УФАС России признает обоснованным довод Заявителя о том, что в описании объекта закупки и проекте контракта указаны противоречивые сведения в отношении необходимости приобретения исполнителем по контракту расходных материалов при оказании услуг.</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части 3 статьи 7 Закона о контрактной системе информация, предусмотренная настоящим Федеральным законом и размещенная в единой информационной системе, должна быть полной и достоверной.</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Исходя из буквального толкования указанного положения Закона о контрактной системе, следует, что извещение о закупке должно обеспечивать адекватное и четкое восприятие существа (предмета) закупки. Условия оказания услуг не могут содержать противоречивой или непонятной информации и должны полностью информировать потенциальных участников закупки о соответствующих требованиях, указанные требования должны быть ясными, четкими, непротиворечивыми, исключать возможность неоднозначного толкования и быть реально исполнимыми.</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описании объекта закупки № 0123600002524000224 Заказчиком предусмотрено, что исполнителю необходимо оказать услуги по ремонту, техническому обслуживанию автотранспорта МБУ Ивановского муниципального округа «АЙРИС».</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в проекте контракта по закупке № 0123600002524000224 предусмотрены следующие условия.</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 2.3: «Цена Договора включает в себя стоимость запасных частей, расходных материалов, эксплуатационных жидкостей (далее - запасные части), расходов на эксплуатацию оборудования и механизмов, применяемых при выполнении Работ, расходов на эксплуатацию территории, помещений, сооружений, энергоресурсов, используемых при выполнении Работ, расходов на обеспечение сохранности автомобилей Заказчика, предоставленных Подрядчику для выполнения Работ, расходов на доставку неисправного автотранспорта Заказчика с места поломки до СТО Подрядчика, расходов на уплату таможенных пошлин, налогов, сборов и других обязательных платежей, взимаемых с Подрядчика и уплачиваемых им в соответствии с законодательством Российской Федерации в связи с исполнением Договора. Цена Договора может быть снижена по соглашению Сторон без изменения предусмотренных Договором объема и качества выполняемых Работ и иных условий Договора».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 2.5: «В стоимость Работ включена стоимость запчастей и расходных материалов».</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следует из пояснений представителя Заказчика, потребностью заказчика является непосредственно приобретение услуг, а не сопутствующих расходных материалов. Указание в проекте договора условий о том, что при оказании услуг подрядчик несет расходы на приобретение запасных частей, обусловлено технической ошибкой. Запасные части приобретаются Заказчиком и передаются подрядчику, в названных целях Заказчиком заключен соответствующий договор.</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Резюмируя вышеизложенное, Комиссия Амурского УФАС России приходит к выводу о наличии в действиях Заказчика, ответственного в силу пункта 3.2 Порядка №450 за описание объекта закупки и содержание проекта договора, нарушение части 3 статьи 7, пункта 1 части 1 статьи 33, пункта 5 части 2 статьи 42 Закона о контрактной системе, выразившееся в ненадлежащим оформлении извещения по закупке №0123600002524000224 (в частности, проекта договора, являющегося неотъемлемой частью извещения).</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Ответственность за данное нарушение предусмотрена частью 4.2 статьи 7.30 Кодекса Российской Федерации об административных правонарушениях.</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Одновременно Комиссией Амурского УФАС России отклоняется довод Заявителя о том, что ранее Заказчиком заключался контракт на оказание аналогичных услуг, как не имеющий отношения к рассматриваемой закупке, поскольку заключение указанного контракта относится исключительно к хозяйственной деятельности Заказчика, вмешательство в которую не относится к полномочиям антимонопольного органа.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Решая вопрос о необходимости выдачи Заказчику предписания об устранении допущенных нарушений законодательства Российской Федерации о контрактной системе, Комиссия Амурского УФАС России приходит к выводу о целесообразности выдачи предписания, предусматривающего устранение противоречивых сведений путем внесения соответствующих изменений в проект контракта.</w:t>
      </w:r>
    </w:p>
    <w:p>
      <w:pPr>
        <w:pStyle w:val="Style16"/>
        <w:keepNext w:val="0"/>
        <w:keepLines w:val="0"/>
        <w:widowControl w:val="0"/>
        <w:shd w:val="clear" w:color="auto" w:fill="auto"/>
        <w:bidi w:val="0"/>
        <w:spacing w:before="0" w:after="260" w:line="240" w:lineRule="auto"/>
        <w:ind w:left="0" w:right="0" w:firstLine="720"/>
        <w:jc w:val="both"/>
      </w:pPr>
      <w:r>
        <w:rPr>
          <w:color w:val="000000"/>
          <w:spacing w:val="0"/>
          <w:w w:val="100"/>
          <w:position w:val="0"/>
          <w:shd w:val="clear" w:color="auto" w:fill="auto"/>
          <w:lang w:val="ru-RU" w:eastAsia="ru-RU" w:bidi="ru-RU"/>
        </w:rPr>
        <w:t>Рассмотрев жалобу ИП Масальского А.Б. на действия Заказчика и Уполномоченного органа при осуществлении закупки на выполнение работ по ремонту и плановому</w:t>
        <w:br w:type="page"/>
      </w:r>
      <w:r>
        <w:rPr>
          <w:color w:val="000000"/>
          <w:spacing w:val="0"/>
          <w:w w:val="100"/>
          <w:position w:val="0"/>
          <w:shd w:val="clear" w:color="auto" w:fill="auto"/>
          <w:lang w:val="ru-RU" w:eastAsia="ru-RU" w:bidi="ru-RU"/>
        </w:rPr>
        <w:t>техническому обслуживанию автомобилей МБУ Ивановского муниципального округа "АЙРИС" способом запроса котировок в электронной форме, объявленного извещением от 23.09.2024 № 01236000025240002244 в Единой информационной системе в сфере закупок \у\у\у./акирк1.доу.1Т1 и на электронной площадке РТС-тендер \у\у\у.г18-1епс1ег.ги, руководствуясь пунктом 1 части 3, частью 15 статьи 99, частью 8 статьи 106 Закона о контрактной системе, Комиссия Амурского УФАС России приняла</w:t>
      </w:r>
    </w:p>
    <w:p>
      <w:pPr>
        <w:pStyle w:val="Style16"/>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РЕШЕНИЕ:</w:t>
      </w:r>
    </w:p>
    <w:p>
      <w:pPr>
        <w:pStyle w:val="Style16"/>
        <w:keepNext w:val="0"/>
        <w:keepLines w:val="0"/>
        <w:widowControl w:val="0"/>
        <w:numPr>
          <w:ilvl w:val="0"/>
          <w:numId w:val="11"/>
        </w:numPr>
        <w:shd w:val="clear" w:color="auto" w:fill="auto"/>
        <w:tabs>
          <w:tab w:pos="112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жалобу индивидуального предпринимателя Масальского Андрея Борисовича обоснованной в части.</w:t>
      </w:r>
    </w:p>
    <w:p>
      <w:pPr>
        <w:pStyle w:val="Style16"/>
        <w:keepNext w:val="0"/>
        <w:keepLines w:val="0"/>
        <w:widowControl w:val="0"/>
        <w:numPr>
          <w:ilvl w:val="0"/>
          <w:numId w:val="11"/>
        </w:numPr>
        <w:shd w:val="clear" w:color="auto" w:fill="auto"/>
        <w:tabs>
          <w:tab w:pos="112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в действиях заказчика - муниципального бюджетного учреждения Ивановского муниципального округа «Айрис» нарушение части 3 статьи 7, пункта 1 части 1 статьи 33, пункта 5 части 2 статьи 42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pPr>
        <w:pStyle w:val="Style16"/>
        <w:keepNext w:val="0"/>
        <w:keepLines w:val="0"/>
        <w:widowControl w:val="0"/>
        <w:numPr>
          <w:ilvl w:val="0"/>
          <w:numId w:val="11"/>
        </w:numPr>
        <w:shd w:val="clear" w:color="auto" w:fill="auto"/>
        <w:tabs>
          <w:tab w:pos="112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Выдать заказчику - муниципальному бюджетному учреждению Ивановского муниципального округа «Айрис» и уполномоченному органу - администрации Ивановского муниципального округа Амурской области предписание об устранении нарушения законодательства Российской Федерации о контрактной системе.</w:t>
      </w:r>
    </w:p>
    <w:p>
      <w:pPr>
        <w:pStyle w:val="Style16"/>
        <w:keepNext w:val="0"/>
        <w:keepLines w:val="0"/>
        <w:widowControl w:val="0"/>
        <w:numPr>
          <w:ilvl w:val="0"/>
          <w:numId w:val="11"/>
        </w:numPr>
        <w:shd w:val="clear" w:color="auto" w:fill="auto"/>
        <w:tabs>
          <w:tab w:pos="1123" w:val="left"/>
        </w:tabs>
        <w:bidi w:val="0"/>
        <w:spacing w:before="0" w:after="260" w:line="240" w:lineRule="auto"/>
        <w:ind w:left="0" w:right="0" w:firstLine="720"/>
        <w:jc w:val="both"/>
      </w:pPr>
      <w:r>
        <w:rPr>
          <w:color w:val="000000"/>
          <w:spacing w:val="0"/>
          <w:w w:val="100"/>
          <w:position w:val="0"/>
          <w:shd w:val="clear" w:color="auto" w:fill="auto"/>
          <w:lang w:val="ru-RU" w:eastAsia="ru-RU" w:bidi="ru-RU"/>
        </w:rPr>
        <w:t>Передать материалы дела должностному лицу Амурского УФАС России для рассмотрения вопроса о возбуждения административного производства.</w:t>
      </w:r>
    </w:p>
    <w:p>
      <w:pPr>
        <w:pStyle w:val="Style1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Решение Комиссии антимонопольного органа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900" w:right="536" w:bottom="815" w:left="1101" w:header="0" w:footer="3" w:gutter="0"/>
          <w:cols w:space="720"/>
          <w:noEndnote/>
          <w:rtlGutter w:val="0"/>
          <w:docGrid w:linePitch="360"/>
        </w:sectPr>
      </w:pPr>
      <w:r>
        <mc:AlternateContent>
          <mc:Choice Requires="wps">
            <w:drawing>
              <wp:anchor distT="304800" distB="371475" distL="0" distR="0" simplePos="0" relativeHeight="125829378" behindDoc="0" locked="0" layoutInCell="1" allowOverlap="1">
                <wp:simplePos x="0" y="0"/>
                <wp:positionH relativeFrom="page">
                  <wp:posOffset>739140</wp:posOffset>
                </wp:positionH>
                <wp:positionV relativeFrom="paragraph">
                  <wp:posOffset>304800</wp:posOffset>
                </wp:positionV>
                <wp:extent cx="1700530" cy="234950"/>
                <wp:wrapTopAndBottom/>
                <wp:docPr id="7" name="Shape 7"/>
                <a:graphic xmlns:a="http://schemas.openxmlformats.org/drawingml/2006/main">
                  <a:graphicData uri="http://schemas.microsoft.com/office/word/2010/wordprocessingShape">
                    <wps:wsp>
                      <wps:cNvSpPr txBox="1"/>
                      <wps:spPr>
                        <a:xfrm>
                          <a:ext cx="1700530"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8.200000000000003pt;margin-top:24.pt;width:133.90000000000001pt;height:18.5pt;z-index:-125829375;mso-wrap-distance-left:0;mso-wrap-distance-top:24.pt;mso-wrap-distance-right:0;mso-wrap-distance-bottom:29.25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377825" distB="0" distL="0" distR="1786255" simplePos="0" relativeHeight="125829380" behindDoc="0" locked="0" layoutInCell="1" allowOverlap="1">
            <wp:simplePos x="0" y="0"/>
            <wp:positionH relativeFrom="page">
              <wp:posOffset>2659380</wp:posOffset>
            </wp:positionH>
            <wp:positionV relativeFrom="paragraph">
              <wp:posOffset>377825</wp:posOffset>
            </wp:positionV>
            <wp:extent cx="353695" cy="536575"/>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3116580</wp:posOffset>
                </wp:positionH>
                <wp:positionV relativeFrom="paragraph">
                  <wp:posOffset>777240</wp:posOffset>
                </wp:positionV>
                <wp:extent cx="1286510" cy="103505"/>
                <wp:wrapNone/>
                <wp:docPr id="11" name="Shape 11"/>
                <a:graphic xmlns:a="http://schemas.openxmlformats.org/drawingml/2006/main">
                  <a:graphicData uri="http://schemas.microsoft.com/office/word/2010/wordprocessingShape">
                    <wps:wsp>
                      <wps:cNvSpPr txBox="1"/>
                      <wps:spPr>
                        <a:xfrm>
                          <a:ext cx="1286510" cy="103505"/>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7E7E7"/>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245.40000000000001pt;margin-top:61.200000000000003pt;width:101.3pt;height:8.1500000000000004pt;z-index:251657729;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7E7E7"/>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3074035</wp:posOffset>
                </wp:positionH>
                <wp:positionV relativeFrom="paragraph">
                  <wp:posOffset>466090</wp:posOffset>
                </wp:positionV>
                <wp:extent cx="1722120" cy="255905"/>
                <wp:wrapNone/>
                <wp:docPr id="13" name="Shape 1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8"/>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42.05000000000001pt;margin-top:36.700000000000003pt;width:135.59999999999999pt;height:20.150000000000002pt;z-index:251657731;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04800" distB="371475" distL="0" distR="0" simplePos="0" relativeHeight="125829381" behindDoc="0" locked="0" layoutInCell="1" allowOverlap="1">
                <wp:simplePos x="0" y="0"/>
                <wp:positionH relativeFrom="page">
                  <wp:posOffset>5920740</wp:posOffset>
                </wp:positionH>
                <wp:positionV relativeFrom="paragraph">
                  <wp:posOffset>304800</wp:posOffset>
                </wp:positionV>
                <wp:extent cx="1252855" cy="234950"/>
                <wp:wrapTopAndBottom/>
                <wp:docPr id="15" name="Shape 15"/>
                <a:graphic xmlns:a="http://schemas.openxmlformats.org/drawingml/2006/main">
                  <a:graphicData uri="http://schemas.microsoft.com/office/word/2010/wordprocessingShape">
                    <wps:wsp>
                      <wps:cNvSpPr txBox="1"/>
                      <wps:spPr>
                        <a:xfrm>
                          <a:ext cx="1252855"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М.М. Парнищева</w:t>
                            </w:r>
                          </w:p>
                        </w:txbxContent>
                      </wps:txbx>
                      <wps:bodyPr wrap="none" lIns="0" tIns="0" rIns="0" bIns="0">
                        <a:noAutoFit/>
                      </wps:bodyPr>
                    </wps:wsp>
                  </a:graphicData>
                </a:graphic>
              </wp:anchor>
            </w:drawing>
          </mc:Choice>
          <mc:Fallback>
            <w:pict>
              <v:shape id="_x0000_s1041" type="#_x0000_t202" style="position:absolute;margin-left:466.19999999999999pt;margin-top:24.pt;width:98.650000000000006pt;height:18.5pt;z-index:-125829372;mso-wrap-distance-left:0;mso-wrap-distance-top:24.pt;mso-wrap-distance-right:0;mso-wrap-distance-bottom:29.25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М.М. Парнищева</w:t>
                      </w:r>
                    </w:p>
                  </w:txbxContent>
                </v:textbox>
                <w10:wrap type="topAndBottom" anchorx="page"/>
              </v:shape>
            </w:pict>
          </mc:Fallback>
        </mc:AlternateConten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C6C6C"/>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2"/>
          <w:szCs w:val="12"/>
          <w:shd w:val="clear" w:color="auto" w:fill="auto"/>
          <w:lang w:val="ru-RU" w:eastAsia="ru-RU" w:bidi="ru-RU"/>
        </w:rPr>
        <w:t>Парнищева Марина Михайловна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474747"/>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74747"/>
          <w:spacing w:val="0"/>
          <w:w w:val="100"/>
          <w:position w:val="0"/>
          <w:sz w:val="12"/>
          <w:szCs w:val="12"/>
          <w:shd w:val="clear" w:color="auto" w:fill="auto"/>
          <w:lang w:val="ru-RU" w:eastAsia="ru-RU" w:bidi="ru-RU"/>
        </w:rPr>
        <w:t>78С8СЕА2ВЕ2658А4665639ОЕА268ОВ2С</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6C6C6C"/>
          <w:spacing w:val="0"/>
          <w:w w:val="100"/>
          <w:position w:val="0"/>
          <w:sz w:val="12"/>
          <w:szCs w:val="12"/>
          <w:shd w:val="clear" w:color="auto" w:fill="auto"/>
          <w:lang w:val="ru-RU" w:eastAsia="ru-RU" w:bidi="ru-RU"/>
        </w:rPr>
        <w:t xml:space="preserve">Действителен </w:t>
      </w:r>
      <w:r>
        <w:rPr>
          <w:rFonts w:ascii="Arial" w:eastAsia="Arial" w:hAnsi="Arial" w:cs="Arial"/>
          <w:color w:val="474747"/>
          <w:spacing w:val="0"/>
          <w:w w:val="100"/>
          <w:position w:val="0"/>
          <w:sz w:val="12"/>
          <w:szCs w:val="12"/>
          <w:shd w:val="clear" w:color="auto" w:fill="auto"/>
          <w:lang w:val="ru-RU" w:eastAsia="ru-RU" w:bidi="ru-RU"/>
        </w:rPr>
        <w:t xml:space="preserve">с </w:t>
      </w:r>
      <w:r>
        <w:rPr>
          <w:rFonts w:ascii="Arial" w:eastAsia="Arial" w:hAnsi="Arial" w:cs="Arial"/>
          <w:color w:val="6C6C6C"/>
          <w:spacing w:val="0"/>
          <w:w w:val="100"/>
          <w:position w:val="0"/>
          <w:sz w:val="12"/>
          <w:szCs w:val="12"/>
          <w:shd w:val="clear" w:color="auto" w:fill="auto"/>
          <w:lang w:val="ru-RU" w:eastAsia="ru-RU" w:bidi="ru-RU"/>
        </w:rPr>
        <w:t xml:space="preserve">12.08.2024 </w:t>
      </w:r>
      <w:r>
        <w:rPr>
          <w:rFonts w:ascii="Arial" w:eastAsia="Arial" w:hAnsi="Arial" w:cs="Arial"/>
          <w:color w:val="8D8D8D"/>
          <w:spacing w:val="0"/>
          <w:w w:val="100"/>
          <w:position w:val="0"/>
          <w:sz w:val="12"/>
          <w:szCs w:val="12"/>
          <w:shd w:val="clear" w:color="auto" w:fill="auto"/>
          <w:lang w:val="ru-RU" w:eastAsia="ru-RU" w:bidi="ru-RU"/>
        </w:rPr>
        <w:t xml:space="preserve">по </w:t>
      </w:r>
      <w:r>
        <w:rPr>
          <w:rFonts w:ascii="Arial" w:eastAsia="Arial" w:hAnsi="Arial" w:cs="Arial"/>
          <w:color w:val="6C6C6C"/>
          <w:spacing w:val="0"/>
          <w:w w:val="100"/>
          <w:position w:val="0"/>
          <w:sz w:val="12"/>
          <w:szCs w:val="12"/>
          <w:shd w:val="clear" w:color="auto" w:fill="auto"/>
          <w:lang w:val="ru-RU" w:eastAsia="ru-RU" w:bidi="ru-RU"/>
        </w:rPr>
        <w:t>05.11.2025</w:t>
      </w:r>
    </w:p>
    <w:p>
      <w:pPr>
        <w:widowControl w:val="0"/>
        <w:spacing w:line="1" w:lineRule="exact"/>
        <w:sectPr>
          <w:footnotePr>
            <w:pos w:val="pageBottom"/>
            <w:numFmt w:val="decimal"/>
            <w:numRestart w:val="continuous"/>
          </w:footnotePr>
          <w:type w:val="continuous"/>
          <w:pgSz w:w="11900" w:h="16840"/>
          <w:pgMar w:top="1599" w:right="536" w:bottom="2444" w:left="1106" w:header="0" w:footer="3" w:gutter="0"/>
          <w:cols w:space="720"/>
          <w:noEndnote/>
          <w:rtlGutter w:val="0"/>
          <w:docGrid w:linePitch="360"/>
        </w:sectPr>
      </w:pPr>
      <w:r>
        <mc:AlternateContent>
          <mc:Choice Requires="wps">
            <w:drawing>
              <wp:anchor distT="25400" distB="219075" distL="0" distR="0" simplePos="0" relativeHeight="125829383" behindDoc="0" locked="0" layoutInCell="1" allowOverlap="1">
                <wp:simplePos x="0" y="0"/>
                <wp:positionH relativeFrom="page">
                  <wp:posOffset>735965</wp:posOffset>
                </wp:positionH>
                <wp:positionV relativeFrom="paragraph">
                  <wp:posOffset>25400</wp:posOffset>
                </wp:positionV>
                <wp:extent cx="1246505" cy="234950"/>
                <wp:wrapTopAndBottom/>
                <wp:docPr id="17" name="Shape 17"/>
                <a:graphic xmlns:a="http://schemas.openxmlformats.org/drawingml/2006/main">
                  <a:graphicData uri="http://schemas.microsoft.com/office/word/2010/wordprocessingShape">
                    <wps:wsp>
                      <wps:cNvSpPr txBox="1"/>
                      <wps:spPr>
                        <a:xfrm>
                          <a:ext cx="1246505"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3" type="#_x0000_t202" style="position:absolute;margin-left:57.950000000000003pt;margin-top:2.pt;width:98.150000000000006pt;height:18.5pt;z-index:-125829370;mso-wrap-distance-left:0;mso-wrap-distance-top:2.pt;mso-wrap-distance-right:0;mso-wrap-distance-bottom:17.25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116840" distB="0" distL="0" distR="1804670" simplePos="0" relativeHeight="125829385" behindDoc="0" locked="0" layoutInCell="1" allowOverlap="1">
            <wp:simplePos x="0" y="0"/>
            <wp:positionH relativeFrom="page">
              <wp:posOffset>2680335</wp:posOffset>
            </wp:positionH>
            <wp:positionV relativeFrom="paragraph">
              <wp:posOffset>116840</wp:posOffset>
            </wp:positionV>
            <wp:extent cx="311150" cy="365760"/>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1"/>
                    <a:stretch/>
                  </pic:blipFill>
                  <pic:spPr>
                    <a:xfrm>
                      <a:ext cx="311150" cy="36576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3073400</wp:posOffset>
                </wp:positionH>
                <wp:positionV relativeFrom="paragraph">
                  <wp:posOffset>186690</wp:posOffset>
                </wp:positionV>
                <wp:extent cx="1722120" cy="259080"/>
                <wp:wrapNone/>
                <wp:docPr id="21" name="Shape 2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42.pt;margin-top:14.700000000000001pt;width:135.59999999999999pt;height:20.400000000000002pt;z-index:251657733;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25400" distB="219075" distL="0" distR="0" simplePos="0" relativeHeight="125829386" behindDoc="0" locked="0" layoutInCell="1" allowOverlap="1">
                <wp:simplePos x="0" y="0"/>
                <wp:positionH relativeFrom="page">
                  <wp:posOffset>6085205</wp:posOffset>
                </wp:positionH>
                <wp:positionV relativeFrom="paragraph">
                  <wp:posOffset>25400</wp:posOffset>
                </wp:positionV>
                <wp:extent cx="1090930" cy="234950"/>
                <wp:wrapTopAndBottom/>
                <wp:docPr id="23" name="Shape 23"/>
                <a:graphic xmlns:a="http://schemas.openxmlformats.org/drawingml/2006/main">
                  <a:graphicData uri="http://schemas.microsoft.com/office/word/2010/wordprocessingShape">
                    <wps:wsp>
                      <wps:cNvSpPr txBox="1"/>
                      <wps:spPr>
                        <a:xfrm>
                          <a:ext cx="1090930"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Е.В. Стрелкова</w:t>
                            </w:r>
                          </w:p>
                        </w:txbxContent>
                      </wps:txbx>
                      <wps:bodyPr wrap="none" lIns="0" tIns="0" rIns="0" bIns="0">
                        <a:noAutoFit/>
                      </wps:bodyPr>
                    </wps:wsp>
                  </a:graphicData>
                </a:graphic>
              </wp:anchor>
            </w:drawing>
          </mc:Choice>
          <mc:Fallback>
            <w:pict>
              <v:shape id="_x0000_s1049" type="#_x0000_t202" style="position:absolute;margin-left:479.15000000000003pt;margin-top:2.pt;width:85.900000000000006pt;height:18.5pt;z-index:-125829367;mso-wrap-distance-left:0;mso-wrap-distance-top:2.pt;mso-wrap-distance-right:0;mso-wrap-distance-bottom:17.25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Е.В. Стрелкова</w:t>
                      </w:r>
                    </w:p>
                  </w:txbxContent>
                </v:textbox>
                <w10:wrap type="topAndBottom" anchorx="page"/>
              </v:shape>
            </w:pict>
          </mc:Fallback>
        </mc:AlternateContent>
      </w:r>
    </w:p>
    <w:p>
      <w:pPr>
        <w:pStyle w:val="Style2"/>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rPr>
          <w:sz w:val="12"/>
          <w:szCs w:val="12"/>
        </w:rPr>
      </w:pPr>
      <w:r>
        <w:rPr>
          <w:rFonts w:ascii="Georgia" w:eastAsia="Georgia" w:hAnsi="Georgia" w:cs="Georgia"/>
          <w:color w:val="E7E7E7"/>
          <w:spacing w:val="0"/>
          <w:w w:val="100"/>
          <w:position w:val="0"/>
          <w:sz w:val="12"/>
          <w:szCs w:val="12"/>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C6C6C"/>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2"/>
          <w:szCs w:val="12"/>
          <w:shd w:val="clear" w:color="auto" w:fill="auto"/>
          <w:lang w:val="ru-RU" w:eastAsia="ru-RU" w:bidi="ru-RU"/>
        </w:rPr>
        <w:t>Стрелкова Елизавета Викторовна</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474747"/>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74747"/>
          <w:spacing w:val="0"/>
          <w:w w:val="100"/>
          <w:position w:val="0"/>
          <w:sz w:val="12"/>
          <w:szCs w:val="12"/>
          <w:shd w:val="clear" w:color="auto" w:fill="auto"/>
          <w:lang w:val="ru-RU" w:eastAsia="ru-RU" w:bidi="ru-RU"/>
        </w:rPr>
        <w:t>5ЕС860Е482А17Е0С86Е8СС6991СЗА2Е1</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6C6C6C"/>
          <w:spacing w:val="0"/>
          <w:w w:val="100"/>
          <w:position w:val="0"/>
          <w:sz w:val="12"/>
          <w:szCs w:val="12"/>
          <w:shd w:val="clear" w:color="auto" w:fill="auto"/>
          <w:lang w:val="ru-RU" w:eastAsia="ru-RU" w:bidi="ru-RU"/>
        </w:rPr>
        <w:t xml:space="preserve">Действителен </w:t>
      </w:r>
      <w:r>
        <w:rPr>
          <w:rFonts w:ascii="Arial" w:eastAsia="Arial" w:hAnsi="Arial" w:cs="Arial"/>
          <w:color w:val="474747"/>
          <w:spacing w:val="0"/>
          <w:w w:val="100"/>
          <w:position w:val="0"/>
          <w:sz w:val="12"/>
          <w:szCs w:val="12"/>
          <w:shd w:val="clear" w:color="auto" w:fill="auto"/>
          <w:lang w:val="ru-RU" w:eastAsia="ru-RU" w:bidi="ru-RU"/>
        </w:rPr>
        <w:t xml:space="preserve">с </w:t>
      </w:r>
      <w:r>
        <w:rPr>
          <w:rFonts w:ascii="Arial" w:eastAsia="Arial" w:hAnsi="Arial" w:cs="Arial"/>
          <w:color w:val="6C6C6C"/>
          <w:spacing w:val="0"/>
          <w:w w:val="100"/>
          <w:position w:val="0"/>
          <w:sz w:val="12"/>
          <w:szCs w:val="12"/>
          <w:shd w:val="clear" w:color="auto" w:fill="auto"/>
          <w:lang w:val="ru-RU" w:eastAsia="ru-RU" w:bidi="ru-RU"/>
        </w:rPr>
        <w:t xml:space="preserve">04.10.2023 по </w:t>
      </w:r>
      <w:r>
        <w:rPr>
          <w:rFonts w:ascii="Arial" w:eastAsia="Arial" w:hAnsi="Arial" w:cs="Arial"/>
          <w:color w:val="474747"/>
          <w:spacing w:val="0"/>
          <w:w w:val="100"/>
          <w:position w:val="0"/>
          <w:sz w:val="12"/>
          <w:szCs w:val="12"/>
          <w:shd w:val="clear" w:color="auto" w:fill="auto"/>
          <w:lang w:val="ru-RU" w:eastAsia="ru-RU" w:bidi="ru-RU"/>
        </w:rPr>
        <w:t>27.12.2024</w:t>
      </w:r>
    </w:p>
    <w:p>
      <w:pPr>
        <w:widowControl w:val="0"/>
        <w:spacing w:line="1" w:lineRule="exact"/>
      </w:pPr>
      <w:r>
        <mc:AlternateContent>
          <mc:Choice Requires="wps">
            <w:drawing>
              <wp:anchor distT="186690" distB="635" distL="0" distR="0" simplePos="0" relativeHeight="125829388" behindDoc="0" locked="0" layoutInCell="1" allowOverlap="1">
                <wp:simplePos x="0" y="0"/>
                <wp:positionH relativeFrom="page">
                  <wp:posOffset>3074035</wp:posOffset>
                </wp:positionH>
                <wp:positionV relativeFrom="paragraph">
                  <wp:posOffset>186690</wp:posOffset>
                </wp:positionV>
                <wp:extent cx="1722120" cy="255905"/>
                <wp:wrapTopAndBottom/>
                <wp:docPr id="25" name="Shape 2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
                              <w:keepNext w:val="0"/>
                              <w:keepLines w:val="0"/>
                              <w:widowControl w:val="0"/>
                              <w:shd w:val="clear" w:color="auto" w:fill="auto"/>
                              <w:bidi w:val="0"/>
                              <w:spacing w:before="0" w:after="0" w:line="221" w:lineRule="auto"/>
                              <w:ind w:left="0" w:right="0" w:firstLine="0"/>
                              <w:jc w:val="left"/>
                              <w:rPr>
                                <w:sz w:val="12"/>
                                <w:szCs w:val="12"/>
                              </w:rPr>
                            </w:pPr>
                            <w:r>
                              <w:rPr>
                                <w:color w:val="212121"/>
                                <w:spacing w:val="0"/>
                                <w:w w:val="100"/>
                                <w:position w:val="0"/>
                                <w:sz w:val="12"/>
                                <w:szCs w:val="12"/>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1" type="#_x0000_t202" style="position:absolute;margin-left:242.05000000000001pt;margin-top:14.700000000000001pt;width:135.59999999999999pt;height:20.150000000000002pt;z-index:-125829365;mso-wrap-distance-left:0;mso-wrap-distance-top:14.700000000000001pt;mso-wrap-distance-right:0;mso-wrap-distance-bottom:5.0000000000000003e-002pt;mso-position-horizontal-relative:page" filled="f" stroked="f">
                <v:textbox inset="0,0,0,0">
                  <w:txbxContent>
                    <w:p>
                      <w:pPr>
                        <w:pStyle w:val="Style2"/>
                        <w:keepNext w:val="0"/>
                        <w:keepLines w:val="0"/>
                        <w:widowControl w:val="0"/>
                        <w:shd w:val="clear" w:color="auto" w:fill="auto"/>
                        <w:bidi w:val="0"/>
                        <w:spacing w:before="0" w:after="0" w:line="221" w:lineRule="auto"/>
                        <w:ind w:left="0" w:right="0" w:firstLine="0"/>
                        <w:jc w:val="left"/>
                        <w:rPr>
                          <w:sz w:val="12"/>
                          <w:szCs w:val="12"/>
                        </w:rPr>
                      </w:pPr>
                      <w:r>
                        <w:rPr>
                          <w:color w:val="212121"/>
                          <w:spacing w:val="0"/>
                          <w:w w:val="100"/>
                          <w:position w:val="0"/>
                          <w:sz w:val="12"/>
                          <w:szCs w:val="12"/>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25400" distB="182880" distL="0" distR="0" simplePos="0" relativeHeight="125829390" behindDoc="0" locked="0" layoutInCell="1" allowOverlap="1">
                <wp:simplePos x="0" y="0"/>
                <wp:positionH relativeFrom="page">
                  <wp:posOffset>6128385</wp:posOffset>
                </wp:positionH>
                <wp:positionV relativeFrom="paragraph">
                  <wp:posOffset>25400</wp:posOffset>
                </wp:positionV>
                <wp:extent cx="1042670" cy="234950"/>
                <wp:wrapTopAndBottom/>
                <wp:docPr id="27" name="Shape 27"/>
                <a:graphic xmlns:a="http://schemas.openxmlformats.org/drawingml/2006/main">
                  <a:graphicData uri="http://schemas.microsoft.com/office/word/2010/wordprocessingShape">
                    <wps:wsp>
                      <wps:cNvSpPr txBox="1"/>
                      <wps:spPr>
                        <a:xfrm>
                          <a:ext cx="1042670" cy="2349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И.И. Левченко</w:t>
                            </w:r>
                          </w:p>
                        </w:txbxContent>
                      </wps:txbx>
                      <wps:bodyPr wrap="none" lIns="0" tIns="0" rIns="0" bIns="0">
                        <a:noAutoFit/>
                      </wps:bodyPr>
                    </wps:wsp>
                  </a:graphicData>
                </a:graphic>
              </wp:anchor>
            </w:drawing>
          </mc:Choice>
          <mc:Fallback>
            <w:pict>
              <v:shape id="_x0000_s1053" type="#_x0000_t202" style="position:absolute;margin-left:482.55000000000001pt;margin-top:2.pt;width:82.100000000000009pt;height:18.5pt;z-index:-125829363;mso-wrap-distance-left:0;mso-wrap-distance-top:2.pt;mso-wrap-distance-right:0;mso-wrap-distance-bottom:14.4pt;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И.И. Левченко</w:t>
                      </w:r>
                    </w:p>
                  </w:txbxContent>
                </v:textbox>
                <w10:wrap type="topAndBottom" anchorx="page"/>
              </v:shape>
            </w:pict>
          </mc:Fallback>
        </mc:AlternateContent>
      </w:r>
    </w:p>
    <w:p>
      <w:pPr>
        <w:pStyle w:val="Style2"/>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left="0" w:right="0" w:firstLine="0"/>
        <w:jc w:val="center"/>
        <w:rPr>
          <w:sz w:val="12"/>
          <w:szCs w:val="12"/>
        </w:rPr>
      </w:pPr>
      <w:r>
        <w:rPr>
          <w:rFonts w:ascii="Georgia" w:eastAsia="Georgia" w:hAnsi="Georgia" w:cs="Georgia"/>
          <w:color w:val="E7E7E7"/>
          <w:spacing w:val="0"/>
          <w:w w:val="100"/>
          <w:position w:val="0"/>
          <w:sz w:val="12"/>
          <w:szCs w:val="12"/>
          <w:shd w:val="clear" w:color="auto" w:fill="auto"/>
          <w:lang w:val="ru-RU" w:eastAsia="ru-RU" w:bidi="ru-RU"/>
        </w:rPr>
        <w:t>СВЕДЕНИЯ О СЕРТИФИКАТЕ ЭП</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000000"/>
          <w:spacing w:val="0"/>
          <w:w w:val="100"/>
          <w:position w:val="0"/>
          <w:sz w:val="12"/>
          <w:szCs w:val="12"/>
          <w:shd w:val="clear" w:color="auto" w:fill="auto"/>
          <w:lang w:val="ru-RU" w:eastAsia="ru-RU" w:bidi="ru-RU"/>
        </w:rPr>
        <w:t xml:space="preserve">Кому </w:t>
      </w:r>
      <w:r>
        <w:rPr>
          <w:rFonts w:ascii="Arial" w:eastAsia="Arial" w:hAnsi="Arial" w:cs="Arial"/>
          <w:color w:val="6C6C6C"/>
          <w:spacing w:val="0"/>
          <w:w w:val="100"/>
          <w:position w:val="0"/>
          <w:sz w:val="12"/>
          <w:szCs w:val="12"/>
          <w:shd w:val="clear" w:color="auto" w:fill="auto"/>
          <w:lang w:val="ru-RU" w:eastAsia="ru-RU" w:bidi="ru-RU"/>
        </w:rPr>
        <w:t xml:space="preserve">выдан: </w:t>
      </w:r>
      <w:r>
        <w:rPr>
          <w:rFonts w:ascii="Arial" w:eastAsia="Arial" w:hAnsi="Arial" w:cs="Arial"/>
          <w:color w:val="000000"/>
          <w:spacing w:val="0"/>
          <w:w w:val="100"/>
          <w:position w:val="0"/>
          <w:sz w:val="12"/>
          <w:szCs w:val="12"/>
          <w:shd w:val="clear" w:color="auto" w:fill="auto"/>
          <w:lang w:val="ru-RU" w:eastAsia="ru-RU" w:bidi="ru-RU"/>
        </w:rPr>
        <w:t>Левченко Иван Игоревич</w:t>
      </w:r>
    </w:p>
    <w:p>
      <w:pPr>
        <w:pStyle w:val="Style2"/>
        <w:keepNext w:val="0"/>
        <w:keepLines w:val="0"/>
        <w:widowControl w:val="0"/>
        <w:shd w:val="clear" w:color="auto" w:fill="auto"/>
        <w:bidi w:val="0"/>
        <w:spacing w:before="0" w:after="0" w:line="240" w:lineRule="auto"/>
        <w:ind w:left="3100" w:right="0" w:firstLine="0"/>
        <w:jc w:val="left"/>
        <w:rPr>
          <w:sz w:val="12"/>
          <w:szCs w:val="12"/>
        </w:rPr>
      </w:pPr>
      <w:r>
        <w:rPr>
          <w:rFonts w:ascii="Arial" w:eastAsia="Arial" w:hAnsi="Arial" w:cs="Arial"/>
          <w:color w:val="474747"/>
          <w:spacing w:val="0"/>
          <w:w w:val="100"/>
          <w:position w:val="0"/>
          <w:sz w:val="12"/>
          <w:szCs w:val="12"/>
          <w:shd w:val="clear" w:color="auto" w:fill="auto"/>
          <w:lang w:val="ru-RU" w:eastAsia="ru-RU" w:bidi="ru-RU"/>
        </w:rPr>
        <w:t xml:space="preserve">Сертификат </w:t>
      </w:r>
      <w:r>
        <w:rPr>
          <w:rFonts w:ascii="Arial" w:eastAsia="Arial" w:hAnsi="Arial" w:cs="Arial"/>
          <w:color w:val="000000"/>
          <w:spacing w:val="0"/>
          <w:w w:val="100"/>
          <w:position w:val="0"/>
          <w:sz w:val="12"/>
          <w:szCs w:val="12"/>
          <w:shd w:val="clear" w:color="auto" w:fill="auto"/>
          <w:lang w:val="ru-RU" w:eastAsia="ru-RU" w:bidi="ru-RU"/>
        </w:rPr>
        <w:t xml:space="preserve">№ </w:t>
      </w:r>
      <w:r>
        <w:rPr>
          <w:rFonts w:ascii="Arial" w:eastAsia="Arial" w:hAnsi="Arial" w:cs="Arial"/>
          <w:color w:val="474747"/>
          <w:spacing w:val="0"/>
          <w:w w:val="100"/>
          <w:position w:val="0"/>
          <w:sz w:val="12"/>
          <w:szCs w:val="12"/>
          <w:shd w:val="clear" w:color="auto" w:fill="auto"/>
          <w:lang w:val="ru-RU" w:eastAsia="ru-RU" w:bidi="ru-RU"/>
        </w:rPr>
        <w:t>5Е62СА182Е136О74ООСО8641С89В8Е7Е</w:t>
      </w:r>
    </w:p>
    <w:p>
      <w:pPr>
        <w:pStyle w:val="Style2"/>
        <w:keepNext w:val="0"/>
        <w:keepLines w:val="0"/>
        <w:widowControl w:val="0"/>
        <w:shd w:val="clear" w:color="auto" w:fill="auto"/>
        <w:bidi w:val="0"/>
        <w:spacing w:before="0" w:after="60" w:line="240" w:lineRule="auto"/>
        <w:ind w:left="3100" w:right="0" w:firstLine="0"/>
        <w:jc w:val="left"/>
        <w:rPr>
          <w:sz w:val="12"/>
          <w:szCs w:val="12"/>
        </w:rPr>
      </w:pPr>
      <w:r>
        <w:rPr>
          <w:rFonts w:ascii="Arial" w:eastAsia="Arial" w:hAnsi="Arial" w:cs="Arial"/>
          <w:color w:val="6C6C6C"/>
          <w:spacing w:val="0"/>
          <w:w w:val="100"/>
          <w:position w:val="0"/>
          <w:sz w:val="12"/>
          <w:szCs w:val="12"/>
          <w:shd w:val="clear" w:color="auto" w:fill="auto"/>
          <w:lang w:val="ru-RU" w:eastAsia="ru-RU" w:bidi="ru-RU"/>
        </w:rPr>
        <w:t xml:space="preserve">Действителен </w:t>
      </w:r>
      <w:r>
        <w:rPr>
          <w:rFonts w:ascii="Arial" w:eastAsia="Arial" w:hAnsi="Arial" w:cs="Arial"/>
          <w:color w:val="212121"/>
          <w:spacing w:val="0"/>
          <w:w w:val="100"/>
          <w:position w:val="0"/>
          <w:sz w:val="12"/>
          <w:szCs w:val="12"/>
          <w:shd w:val="clear" w:color="auto" w:fill="auto"/>
          <w:lang w:val="ru-RU" w:eastAsia="ru-RU" w:bidi="ru-RU"/>
        </w:rPr>
        <w:t xml:space="preserve">с </w:t>
      </w:r>
      <w:r>
        <w:rPr>
          <w:rFonts w:ascii="Arial" w:eastAsia="Arial" w:hAnsi="Arial" w:cs="Arial"/>
          <w:color w:val="474747"/>
          <w:spacing w:val="0"/>
          <w:w w:val="100"/>
          <w:position w:val="0"/>
          <w:sz w:val="12"/>
          <w:szCs w:val="12"/>
          <w:shd w:val="clear" w:color="auto" w:fill="auto"/>
          <w:lang w:val="ru-RU" w:eastAsia="ru-RU" w:bidi="ru-RU"/>
        </w:rPr>
        <w:t xml:space="preserve">07.06.2024 </w:t>
      </w:r>
      <w:r>
        <w:rPr>
          <w:rFonts w:ascii="Arial" w:eastAsia="Arial" w:hAnsi="Arial" w:cs="Arial"/>
          <w:color w:val="8D8D8D"/>
          <w:spacing w:val="0"/>
          <w:w w:val="100"/>
          <w:position w:val="0"/>
          <w:sz w:val="12"/>
          <w:szCs w:val="12"/>
          <w:shd w:val="clear" w:color="auto" w:fill="auto"/>
          <w:lang w:val="ru-RU" w:eastAsia="ru-RU" w:bidi="ru-RU"/>
        </w:rPr>
        <w:t xml:space="preserve">по </w:t>
      </w:r>
      <w:r>
        <w:rPr>
          <w:rFonts w:ascii="Arial" w:eastAsia="Arial" w:hAnsi="Arial" w:cs="Arial"/>
          <w:color w:val="474747"/>
          <w:spacing w:val="0"/>
          <w:w w:val="100"/>
          <w:position w:val="0"/>
          <w:sz w:val="12"/>
          <w:szCs w:val="12"/>
          <w:shd w:val="clear" w:color="auto" w:fill="auto"/>
          <w:lang w:val="ru-RU" w:eastAsia="ru-RU" w:bidi="ru-RU"/>
        </w:rPr>
        <w:t>31.08.2025</w:t>
      </w:r>
    </w:p>
    <w:sectPr>
      <w:footnotePr>
        <w:pos w:val="pageBottom"/>
        <w:numFmt w:val="decimal"/>
        <w:numRestart w:val="continuous"/>
      </w:footnotePr>
      <w:type w:val="continuous"/>
      <w:pgSz w:w="11900" w:h="16840"/>
      <w:pgMar w:top="1599" w:right="536" w:bottom="2444"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721995</wp:posOffset>
              </wp:positionH>
              <wp:positionV relativeFrom="page">
                <wp:posOffset>10016490</wp:posOffset>
              </wp:positionV>
              <wp:extent cx="643255" cy="100330"/>
              <wp:wrapNone/>
              <wp:docPr id="3" name="Shape 3"/>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2024-4825</w:t>
                          </w:r>
                        </w:p>
                      </w:txbxContent>
                    </wps:txbx>
                    <wps:bodyPr wrap="none" lIns="0" tIns="0" rIns="0" bIns="0">
                      <a:spAutoFit/>
                    </wps:bodyPr>
                  </wps:wsp>
                </a:graphicData>
              </a:graphic>
            </wp:anchor>
          </w:drawing>
        </mc:Choice>
        <mc:Fallback>
          <w:pict>
            <v:shape id="_x0000_s1029" type="#_x0000_t202" style="position:absolute;margin-left:56.850000000000001pt;margin-top:788.70000000000005pt;width:50.6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2024-4825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723900</wp:posOffset>
              </wp:positionH>
              <wp:positionV relativeFrom="page">
                <wp:posOffset>9857740</wp:posOffset>
              </wp:positionV>
              <wp:extent cx="643255" cy="100330"/>
              <wp:wrapNone/>
              <wp:docPr id="5" name="Shape 5"/>
              <a:graphic xmlns:a="http://schemas.openxmlformats.org/drawingml/2006/main">
                <a:graphicData uri="http://schemas.microsoft.com/office/word/2010/wordprocessingShape">
                  <wps:wsp>
                    <wps:cNvSpPr txBox="1"/>
                    <wps:spPr>
                      <a:xfrm>
                        <a:ext cx="643255"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2024-4825</w:t>
                          </w:r>
                        </w:p>
                      </w:txbxContent>
                    </wps:txbx>
                    <wps:bodyPr wrap="none" lIns="0" tIns="0" rIns="0" bIns="0">
                      <a:spAutoFit/>
                    </wps:bodyPr>
                  </wps:wsp>
                </a:graphicData>
              </a:graphic>
            </wp:anchor>
          </w:drawing>
        </mc:Choice>
        <mc:Fallback>
          <w:pict>
            <v:shape id="_x0000_s1031" type="#_x0000_t202" style="position:absolute;margin-left:57.pt;margin-top:776.20000000000005pt;width:50.649999999999999pt;height:7.9000000000000004pt;z-index:-188744059;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2024-4825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3931920</wp:posOffset>
              </wp:positionH>
              <wp:positionV relativeFrom="page">
                <wp:posOffset>701040</wp:posOffset>
              </wp:positionV>
              <wp:extent cx="52070" cy="76200"/>
              <wp:wrapNone/>
              <wp:docPr id="1" name="Shape 1"/>
              <a:graphic xmlns:a="http://schemas.openxmlformats.org/drawingml/2006/main">
                <a:graphicData uri="http://schemas.microsoft.com/office/word/2010/wordprocessingShape">
                  <wps:wsp>
                    <wps:cNvSpPr txBox="1"/>
                    <wps:spPr>
                      <a:xfrm>
                        <a:ext cx="52070" cy="7620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color w:val="000000"/>
                                <w:spacing w:val="0"/>
                                <w:w w:val="100"/>
                                <w:position w:val="0"/>
                                <w:sz w:val="18"/>
                                <w:szCs w:val="18"/>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309.60000000000002pt;margin-top:55.200000000000003pt;width:4.0999999999999996pt;height:6.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18"/>
                        <w:szCs w:val="18"/>
                      </w:rPr>
                    </w:pPr>
                    <w:fldSimple w:instr=" PAGE \* MERGEFORMAT ">
                      <w:r>
                        <w:rPr>
                          <w:color w:val="000000"/>
                          <w:spacing w:val="0"/>
                          <w:w w:val="100"/>
                          <w:position w:val="0"/>
                          <w:sz w:val="18"/>
                          <w:szCs w:val="18"/>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2">
    <w:multiLevelType w:val="multilevel"/>
    <w:lvl w:ilvl="0">
      <w:start w:val="6"/>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4">
    <w:multiLevelType w:val="multilevel"/>
    <w:lvl w:ilvl="0">
      <w:start w:val="6"/>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6">
    <w:multiLevelType w:val="multilevel"/>
    <w:lvl w:ilvl="0">
      <w:start w:val="9"/>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Другое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7">
    <w:name w:val="Основной текст_"/>
    <w:basedOn w:val="DefaultParagraphFont"/>
    <w:link w:val="Style16"/>
    <w:rPr>
      <w:rFonts w:ascii="Times New Roman" w:eastAsia="Times New Roman" w:hAnsi="Times New Roman" w:cs="Times New Roman"/>
      <w:b w:val="0"/>
      <w:bCs w:val="0"/>
      <w:i w:val="0"/>
      <w:iCs w:val="0"/>
      <w:smallCaps w:val="0"/>
      <w:strike w:val="0"/>
      <w:sz w:val="26"/>
      <w:szCs w:val="26"/>
      <w:u w:val="none"/>
    </w:rPr>
  </w:style>
  <w:style w:type="character" w:customStyle="1" w:styleId="CharStyle19">
    <w:name w:val="Подпись к картинке_"/>
    <w:basedOn w:val="DefaultParagraphFont"/>
    <w:link w:val="Style18"/>
    <w:rPr>
      <w:rFonts w:ascii="Times New Roman" w:eastAsia="Times New Roman" w:hAnsi="Times New Roman" w:cs="Times New Roman"/>
      <w:b w:val="0"/>
      <w:bCs w:val="0"/>
      <w:i w:val="0"/>
      <w:iCs w:val="0"/>
      <w:smallCaps w:val="0"/>
      <w:strike w:val="0"/>
      <w:color w:val="212121"/>
      <w:sz w:val="12"/>
      <w:szCs w:val="12"/>
      <w:u w:val="none"/>
    </w:rPr>
  </w:style>
  <w:style w:type="character" w:customStyle="1" w:styleId="CharStyle23">
    <w:name w:val="Заголовок №1_"/>
    <w:basedOn w:val="DefaultParagraphFont"/>
    <w:link w:val="Style22"/>
    <w:rPr>
      <w:rFonts w:ascii="Arial" w:eastAsia="Arial" w:hAnsi="Arial" w:cs="Arial"/>
      <w:b w:val="0"/>
      <w:bCs w:val="0"/>
      <w:i w:val="0"/>
      <w:iCs w:val="0"/>
      <w:smallCaps w:val="0"/>
      <w:strike w:val="0"/>
      <w:sz w:val="32"/>
      <w:szCs w:val="32"/>
      <w:u w:val="none"/>
    </w:rPr>
  </w:style>
  <w:style w:type="paragraph" w:customStyle="1" w:styleId="Style2">
    <w:name w:val="Другое"/>
    <w:basedOn w:val="Normal"/>
    <w:link w:val="CharStyle3"/>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1">
    <w:name w:val="Заголовок №2"/>
    <w:basedOn w:val="Normal"/>
    <w:link w:val="CharStyle12"/>
    <w:pPr>
      <w:widowControl w:val="0"/>
      <w:shd w:val="clear" w:color="auto" w:fill="auto"/>
      <w:spacing w:after="300"/>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6">
    <w:name w:val="Основной текст"/>
    <w:basedOn w:val="Normal"/>
    <w:link w:val="CharStyle17"/>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8">
    <w:name w:val="Подпись к картинке"/>
    <w:basedOn w:val="Normal"/>
    <w:link w:val="CharStyle19"/>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12121"/>
      <w:sz w:val="12"/>
      <w:szCs w:val="12"/>
      <w:u w:val="none"/>
    </w:rPr>
  </w:style>
  <w:style w:type="paragraph" w:customStyle="1" w:styleId="Style22">
    <w:name w:val="Заголовок №1"/>
    <w:basedOn w:val="Normal"/>
    <w:link w:val="CharStyle23"/>
    <w:pPr>
      <w:widowControl w:val="0"/>
      <w:shd w:val="clear" w:color="auto" w:fill="auto"/>
      <w:spacing w:after="320"/>
      <w:outlineLvl w:val="0"/>
    </w:pPr>
    <w:rPr>
      <w:rFonts w:ascii="Arial" w:eastAsia="Arial" w:hAnsi="Arial" w:cs="Arial"/>
      <w:b w:val="0"/>
      <w:bCs w:val="0"/>
      <w:i w:val="0"/>
      <w:iCs w:val="0"/>
      <w:smallCaps w:val="0"/>
      <w:strike w:val="0"/>
      <w:sz w:val="32"/>
      <w:szCs w:val="3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eader" Target="header2.xml"/><Relationship Id="rId8" Type="http://schemas.openxmlformats.org/officeDocument/2006/relationships/footer" Target="footer2.xml"/><Relationship Id="rId9" Type="http://schemas.openxmlformats.org/officeDocument/2006/relationships/image" Target="media/image1.jpeg"/><Relationship Id="rId10" Type="http://schemas.openxmlformats.org/officeDocument/2006/relationships/image" Target="media/image1.jpeg" TargetMode="External"/><Relationship Id="rId11" Type="http://schemas.openxmlformats.org/officeDocument/2006/relationships/image" Target="media/image2.jpeg"/><Relationship Id="rId12" Type="http://schemas.openxmlformats.org/officeDocument/2006/relationships/image" Target="media/image2.jpeg" TargetMode="External"/></Relationships>
</file>